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default" w:ascii="Times New Roman" w:hAnsi="Times New Roman" w:eastAsia="宋体"/>
          <w:b/>
          <w:highlight w:val="none"/>
          <w:lang w:val="en-US" w:eastAsia="zh-CN"/>
        </w:rPr>
      </w:pPr>
      <w:bookmarkStart w:id="0" w:name="OLE_LINK12"/>
      <w:bookmarkStart w:id="1" w:name="OLE_LINK34"/>
      <w:bookmarkStart w:id="2" w:name="OLE_LINK24"/>
      <w:bookmarkStart w:id="3" w:name="OLE_LINK13"/>
      <w:bookmarkStart w:id="4" w:name="OLE_LINK33"/>
      <w:bookmarkStart w:id="5" w:name="OLE_LINK1"/>
      <w:r>
        <w:rPr>
          <w:rFonts w:ascii="Times New Roman" w:hAnsi="Times New Roman"/>
          <w:b/>
          <w:highlight w:val="none"/>
        </w:rPr>
        <w:t>3GPP TSG RAN WG1 #11</w:t>
      </w:r>
      <w:r>
        <w:rPr>
          <w:rFonts w:hint="eastAsia" w:ascii="Times New Roman" w:hAnsi="Times New Roman"/>
          <w:b/>
          <w:highlight w:val="none"/>
          <w:lang w:val="en-US" w:eastAsia="zh-CN"/>
        </w:rPr>
        <w:t xml:space="preserve">5  </w:t>
      </w:r>
      <w:r>
        <w:rPr>
          <w:rFonts w:ascii="Times New Roman" w:hAnsi="Times New Roman"/>
          <w:b/>
          <w:highlight w:val="none"/>
        </w:rPr>
        <w:t xml:space="preserve">                             </w:t>
      </w:r>
      <w:r>
        <w:rPr>
          <w:rFonts w:hint="default" w:ascii="Times New Roman" w:hAnsi="Times New Roman" w:cs="Times New Roman"/>
          <w:b/>
          <w:bCs w:val="0"/>
          <w:highlight w:val="none"/>
        </w:rPr>
        <w:t xml:space="preserve">      </w:t>
      </w:r>
      <w:r>
        <w:rPr>
          <w:rFonts w:hint="default" w:ascii="Times New Roman" w:hAnsi="Times New Roman" w:cs="Times New Roman"/>
          <w:b/>
          <w:bCs w:val="0"/>
          <w:highlight w:val="none"/>
          <w:lang w:val="en-US" w:eastAsia="zh-CN"/>
        </w:rPr>
        <w:t xml:space="preserve">    </w:t>
      </w:r>
      <w:r>
        <w:rPr>
          <w:rFonts w:hint="default" w:ascii="Times New Roman" w:hAnsi="Times New Roman" w:cs="Times New Roman"/>
          <w:b/>
          <w:bCs w:val="0"/>
          <w:highlight w:val="none"/>
        </w:rPr>
        <w:t xml:space="preserve">  </w:t>
      </w:r>
      <w:r>
        <w:rPr>
          <w:rFonts w:hint="eastAsia" w:ascii="Times New Roman" w:hAnsi="Times New Roman" w:cs="Times New Roman"/>
          <w:b/>
          <w:bCs w:val="0"/>
          <w:highlight w:val="none"/>
          <w:lang w:val="en-US" w:eastAsia="zh-CN"/>
        </w:rPr>
        <w:t xml:space="preserve">  </w:t>
      </w:r>
      <w:bookmarkStart w:id="16" w:name="_GoBack"/>
      <w:bookmarkEnd w:id="16"/>
      <w:r>
        <w:rPr>
          <w:rFonts w:hint="default" w:ascii="Times New Roman" w:hAnsi="Times New Roman" w:cs="Times New Roman"/>
          <w:b/>
          <w:bCs w:val="0"/>
          <w:highlight w:val="none"/>
        </w:rPr>
        <w:t xml:space="preserve"> R1-2311459</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highlight w:val="none"/>
        </w:rPr>
      </w:pPr>
      <w:r>
        <w:rPr>
          <w:rFonts w:hint="eastAsia" w:ascii="Times New Roman" w:hAnsi="Times New Roman"/>
          <w:b/>
          <w:highlight w:val="none"/>
          <w:lang w:val="en-US" w:eastAsia="ja-JP"/>
        </w:rPr>
        <w:t>Chicago</w:t>
      </w:r>
      <w:r>
        <w:rPr>
          <w:rFonts w:hint="eastAsia" w:ascii="Times New Roman" w:hAnsi="Times New Roman"/>
          <w:b/>
          <w:highlight w:val="none"/>
          <w:lang w:val="en-US" w:eastAsia="zh-CN"/>
        </w:rPr>
        <w:t>, USA, November 13</w:t>
      </w:r>
      <w:r>
        <w:rPr>
          <w:rFonts w:hint="eastAsia" w:ascii="Times New Roman" w:hAnsi="Times New Roman"/>
          <w:b/>
          <w:highlight w:val="none"/>
          <w:vertAlign w:val="superscript"/>
          <w:lang w:val="en-US" w:eastAsia="zh-CN"/>
        </w:rPr>
        <w:t>th</w:t>
      </w:r>
      <w:r>
        <w:rPr>
          <w:rFonts w:ascii="Times New Roman" w:hAnsi="Times New Roman"/>
          <w:b/>
          <w:highlight w:val="none"/>
        </w:rPr>
        <w:t xml:space="preserve"> – </w:t>
      </w:r>
      <w:r>
        <w:rPr>
          <w:rFonts w:hint="eastAsia" w:ascii="Times New Roman" w:hAnsi="Times New Roman"/>
          <w:b/>
          <w:highlight w:val="none"/>
          <w:lang w:val="en-US" w:eastAsia="zh-CN"/>
        </w:rPr>
        <w:t>November 17</w:t>
      </w:r>
      <w:r>
        <w:rPr>
          <w:rFonts w:ascii="Times New Roman" w:hAnsi="Times New Roman"/>
          <w:b/>
          <w:highlight w:val="none"/>
          <w:vertAlign w:val="superscript"/>
        </w:rPr>
        <w:t>th</w:t>
      </w:r>
      <w:r>
        <w:rPr>
          <w:rFonts w:ascii="Times New Roman" w:hAnsi="Times New Roman"/>
          <w:b/>
          <w:highlight w:val="none"/>
        </w:rPr>
        <w:t>, 2023</w:t>
      </w:r>
    </w:p>
    <w:p>
      <w:pPr>
        <w:tabs>
          <w:tab w:val="center" w:pos="4536"/>
          <w:tab w:val="right" w:pos="8280"/>
          <w:tab w:val="right" w:pos="9639"/>
        </w:tabs>
        <w:snapToGrid w:val="0"/>
        <w:spacing w:after="0" w:line="240" w:lineRule="auto"/>
        <w:ind w:right="2"/>
        <w:jc w:val="both"/>
        <w:rPr>
          <w:rFonts w:ascii="Times New Roman" w:hAnsi="Times New Roman" w:eastAsia="宋体"/>
          <w:b/>
          <w:highlight w:val="none"/>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Source:</w:t>
      </w:r>
      <w:r>
        <w:rPr>
          <w:rFonts w:hint="eastAsia" w:ascii="Times New Roman" w:hAnsi="Times New Roman"/>
          <w:b/>
          <w:highlight w:val="none"/>
        </w:rPr>
        <w:tab/>
      </w:r>
      <w:r>
        <w:rPr>
          <w:rFonts w:hint="eastAsia" w:ascii="Times New Roman" w:hAnsi="Times New Roman"/>
          <w:b/>
          <w:highlight w:val="none"/>
        </w:rPr>
        <w:t>ZTE</w:t>
      </w:r>
    </w:p>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Title:</w:t>
      </w:r>
      <w:r>
        <w:rPr>
          <w:rFonts w:hint="eastAsia" w:ascii="Times New Roman" w:hAnsi="Times New Roman"/>
          <w:b/>
          <w:highlight w:val="none"/>
        </w:rPr>
        <w:tab/>
      </w:r>
      <w:r>
        <w:rPr>
          <w:rFonts w:hint="default" w:ascii="Times New Roman" w:hAnsi="Times New Roman" w:eastAsia="宋体" w:cs="Times New Roman"/>
          <w:b/>
        </w:rPr>
        <w:t xml:space="preserve">Maintenance </w:t>
      </w:r>
      <w:r>
        <w:rPr>
          <w:rFonts w:hint="eastAsia" w:ascii="Times New Roman" w:hAnsi="Times New Roman"/>
          <w:b/>
          <w:highlight w:val="none"/>
        </w:rPr>
        <w:t>on carrier phase positioning</w:t>
      </w:r>
    </w:p>
    <w:p>
      <w:pPr>
        <w:pBdr>
          <w:bottom w:val="single" w:color="auto" w:sz="6" w:space="1"/>
        </w:pBdr>
        <w:snapToGrid w:val="0"/>
        <w:spacing w:after="0" w:line="240" w:lineRule="auto"/>
        <w:ind w:left="1797" w:hanging="1797"/>
        <w:jc w:val="both"/>
        <w:rPr>
          <w:rFonts w:hint="default" w:ascii="Times New Roman" w:hAnsi="Times New Roman" w:eastAsiaTheme="minorEastAsia"/>
          <w:b/>
          <w:highlight w:val="none"/>
          <w:lang w:val="en-US" w:eastAsia="zh-CN"/>
        </w:rPr>
      </w:pPr>
      <w:r>
        <w:rPr>
          <w:rFonts w:hint="eastAsia" w:ascii="Times New Roman" w:hAnsi="Times New Roman"/>
          <w:b/>
          <w:highlight w:val="none"/>
        </w:rPr>
        <w:t>Agenda item:</w:t>
      </w:r>
      <w:r>
        <w:rPr>
          <w:rFonts w:hint="eastAsia" w:ascii="Times New Roman" w:hAnsi="Times New Roman"/>
          <w:b/>
          <w:highlight w:val="none"/>
        </w:rPr>
        <w:tab/>
      </w:r>
      <w:r>
        <w:rPr>
          <w:rFonts w:hint="eastAsia" w:ascii="Times New Roman" w:hAnsi="Times New Roman"/>
          <w:b/>
          <w:highlight w:val="none"/>
          <w:lang w:val="en-US" w:eastAsia="zh-CN"/>
        </w:rPr>
        <w:t>8.3.2</w:t>
      </w:r>
    </w:p>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Document for:</w:t>
      </w:r>
      <w:r>
        <w:rPr>
          <w:rFonts w:hint="eastAsia" w:ascii="Times New Roman" w:hAnsi="Times New Roman"/>
          <w:b/>
          <w:highlight w:val="none"/>
        </w:rPr>
        <w:tab/>
      </w:r>
      <w:r>
        <w:rPr>
          <w:rFonts w:hint="eastAsia" w:ascii="Times New Roman" w:hAnsi="Times New Roman"/>
          <w:b/>
          <w:highlight w:val="none"/>
        </w:rPr>
        <w:t>Discussion and Decision</w:t>
      </w:r>
    </w:p>
    <w:p>
      <w:pPr>
        <w:pStyle w:val="2"/>
        <w:snapToGrid w:val="0"/>
        <w:spacing w:before="120" w:after="180" w:afterLines="50"/>
        <w:ind w:left="431" w:hanging="431"/>
        <w:jc w:val="both"/>
        <w:rPr>
          <w:rFonts w:ascii="Times New Roman" w:hAnsi="Times New Roman"/>
          <w:color w:val="auto"/>
          <w:sz w:val="28"/>
          <w:highlight w:val="none"/>
          <w:lang w:val="en-US"/>
        </w:rPr>
      </w:pPr>
      <w:r>
        <w:rPr>
          <w:rFonts w:ascii="Times New Roman" w:hAnsi="Times New Roman"/>
          <w:color w:val="auto"/>
          <w:sz w:val="28"/>
          <w:highlight w:val="none"/>
          <w:lang w:val="en-US"/>
        </w:rPr>
        <w:t>Introduction</w:t>
      </w:r>
      <w:r>
        <w:rPr>
          <w:rFonts w:hint="eastAsia" w:ascii="Times New Roman" w:hAnsi="Times New Roman"/>
          <w:color w:val="auto"/>
          <w:sz w:val="28"/>
          <w:highlight w:val="none"/>
          <w:lang w:val="en-US"/>
        </w:rPr>
        <w:t xml:space="preserve"> </w:t>
      </w:r>
    </w:p>
    <w:p>
      <w:pPr>
        <w:adjustRightInd w:val="0"/>
        <w:snapToGrid w:val="0"/>
        <w:spacing w:before="180" w:beforeLines="50" w:after="180" w:afterLines="50" w:line="240" w:lineRule="auto"/>
        <w:jc w:val="both"/>
        <w:rPr>
          <w:rFonts w:hint="eastAsia" w:ascii="Times New Roman" w:hAnsi="Times New Roman" w:eastAsia="宋体"/>
          <w:color w:val="auto"/>
          <w:sz w:val="20"/>
          <w:szCs w:val="20"/>
          <w:highlight w:val="none"/>
          <w:lang w:eastAsia="zh-CN"/>
        </w:rPr>
      </w:pPr>
      <w:r>
        <w:rPr>
          <w:rFonts w:ascii="Times New Roman" w:hAnsi="Times New Roman" w:eastAsia="宋体"/>
          <w:color w:val="auto"/>
          <w:sz w:val="20"/>
          <w:szCs w:val="20"/>
          <w:highlight w:val="none"/>
        </w:rPr>
        <w:t>In</w:t>
      </w:r>
      <w:r>
        <w:rPr>
          <w:rFonts w:hint="eastAsia" w:ascii="Times New Roman" w:hAnsi="Times New Roman" w:eastAsia="宋体"/>
          <w:color w:val="auto"/>
          <w:sz w:val="20"/>
          <w:szCs w:val="20"/>
          <w:highlight w:val="none"/>
          <w:lang w:val="en-US" w:eastAsia="zh-CN"/>
        </w:rPr>
        <w:t xml:space="preserve"> the last RAN1</w:t>
      </w:r>
      <w:r>
        <w:rPr>
          <w:rFonts w:hint="eastAsia" w:ascii="Times New Roman" w:hAnsi="Times New Roman" w:eastAsia="宋体"/>
          <w:color w:val="auto"/>
          <w:sz w:val="20"/>
          <w:szCs w:val="20"/>
          <w:highlight w:val="none"/>
        </w:rPr>
        <w:t>#11</w:t>
      </w:r>
      <w:r>
        <w:rPr>
          <w:rFonts w:hint="eastAsia" w:ascii="Times New Roman" w:hAnsi="Times New Roman" w:eastAsia="宋体"/>
          <w:color w:val="auto"/>
          <w:sz w:val="20"/>
          <w:szCs w:val="20"/>
          <w:highlight w:val="none"/>
          <w:lang w:val="en-US" w:eastAsia="zh-CN"/>
        </w:rPr>
        <w:t>4bis</w:t>
      </w:r>
      <w:r>
        <w:rPr>
          <w:rFonts w:hint="eastAsia" w:ascii="Times New Roman" w:hAnsi="Times New Roman" w:eastAsia="宋体"/>
          <w:color w:val="auto"/>
          <w:sz w:val="20"/>
          <w:szCs w:val="20"/>
          <w:highlight w:val="none"/>
        </w:rPr>
        <w:t xml:space="preserve"> </w:t>
      </w:r>
      <w:r>
        <w:rPr>
          <w:rFonts w:hint="eastAsia" w:ascii="Times New Roman" w:hAnsi="Times New Roman" w:eastAsia="宋体"/>
          <w:color w:val="auto"/>
          <w:sz w:val="20"/>
          <w:szCs w:val="20"/>
          <w:highlight w:val="none"/>
          <w:lang w:val="en-US" w:eastAsia="zh-CN"/>
        </w:rPr>
        <w:t xml:space="preserve">meeting </w:t>
      </w:r>
      <w:r>
        <w:rPr>
          <w:rFonts w:hint="eastAsia" w:ascii="Times New Roman" w:hAnsi="Times New Roman" w:eastAsia="宋体"/>
          <w:color w:val="auto"/>
          <w:sz w:val="20"/>
          <w:szCs w:val="20"/>
          <w:highlight w:val="none"/>
        </w:rPr>
        <w:t>[1]</w:t>
      </w:r>
      <w:r>
        <w:rPr>
          <w:rFonts w:hint="eastAsia" w:ascii="Times New Roman" w:hAnsi="Times New Roman" w:eastAsia="宋体"/>
          <w:color w:val="auto"/>
          <w:sz w:val="20"/>
          <w:szCs w:val="20"/>
          <w:highlight w:val="none"/>
          <w:lang w:val="en-US" w:eastAsia="zh-CN"/>
        </w:rPr>
        <w:t xml:space="preserve"> </w:t>
      </w:r>
      <w:r>
        <w:rPr>
          <w:rFonts w:ascii="Times New Roman" w:hAnsi="Times New Roman" w:eastAsia="宋体"/>
          <w:color w:val="auto"/>
          <w:sz w:val="20"/>
          <w:szCs w:val="20"/>
          <w:highlight w:val="none"/>
        </w:rPr>
        <w:t xml:space="preserve">, the following </w:t>
      </w:r>
      <w:r>
        <w:rPr>
          <w:rFonts w:hint="eastAsia" w:ascii="Times New Roman" w:hAnsi="Times New Roman" w:eastAsia="宋体"/>
          <w:color w:val="auto"/>
          <w:sz w:val="20"/>
          <w:szCs w:val="20"/>
          <w:highlight w:val="none"/>
        </w:rPr>
        <w:t xml:space="preserve">agreements </w:t>
      </w:r>
      <w:r>
        <w:rPr>
          <w:rFonts w:ascii="Times New Roman" w:hAnsi="Times New Roman" w:eastAsia="宋体"/>
          <w:color w:val="auto"/>
          <w:sz w:val="20"/>
          <w:szCs w:val="20"/>
          <w:highlight w:val="none"/>
        </w:rPr>
        <w:t xml:space="preserve">were </w:t>
      </w:r>
      <w:r>
        <w:rPr>
          <w:rFonts w:hint="eastAsia" w:ascii="Times New Roman" w:hAnsi="Times New Roman" w:eastAsia="宋体"/>
          <w:color w:val="auto"/>
          <w:sz w:val="20"/>
          <w:szCs w:val="20"/>
          <w:highlight w:val="none"/>
        </w:rPr>
        <w:t>made f</w:t>
      </w:r>
      <w:r>
        <w:rPr>
          <w:rFonts w:ascii="Times New Roman" w:hAnsi="Times New Roman" w:eastAsia="宋体"/>
          <w:color w:val="auto"/>
          <w:sz w:val="20"/>
          <w:szCs w:val="20"/>
          <w:highlight w:val="none"/>
        </w:rPr>
        <w:t xml:space="preserve">or </w:t>
      </w:r>
      <w:r>
        <w:rPr>
          <w:rFonts w:hint="eastAsia" w:ascii="Times New Roman" w:hAnsi="Times New Roman" w:eastAsia="宋体"/>
          <w:color w:val="auto"/>
          <w:sz w:val="20"/>
          <w:szCs w:val="20"/>
          <w:highlight w:val="none"/>
        </w:rPr>
        <w:t>carrier phase positioning</w:t>
      </w:r>
      <w:r>
        <w:rPr>
          <w:rFonts w:hint="eastAsia" w:ascii="Times New Roman" w:hAnsi="Times New Roman" w:eastAsia="宋体"/>
          <w:color w:val="auto"/>
          <w:sz w:val="20"/>
          <w:szCs w:val="20"/>
          <w:highlight w:val="none"/>
          <w:lang w:val="en-US" w:eastAsia="zh-CN"/>
        </w:rPr>
        <w:t>:</w:t>
      </w:r>
    </w:p>
    <w:tbl>
      <w:tblPr>
        <w:tblStyle w:val="28"/>
        <w:tblW w:w="9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2" w:type="dxa"/>
          </w:tcPr>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the timestamp associated with a reported UL RSCP measurement, NR-TimeStamp, with the granularity of a slot, currently defined in TS 38.455, can be reused as the timestamp. </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The TRP may optionally provide an OFDM symbol index in the timestamp.</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Note: It is up to RAN2/RAN3 how to signal the timestamp</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Conclusion</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 further discussion in RAN1 regarding the definition of per path RSCPD in Rel-18.</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Note: This conclusion does not impact the existing definition of the RSCP.</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Conclusion</w:t>
            </w:r>
          </w:p>
          <w:p>
            <w:pPr>
              <w:keepNext w:val="0"/>
              <w:keepLines w:val="0"/>
              <w:pageBreakBefore w:val="0"/>
              <w:kinsoku/>
              <w:wordWrap/>
              <w:topLinePunct w:val="0"/>
              <w:bidi w:val="0"/>
              <w:adjustRightInd w:val="0"/>
              <w:snapToGrid w:val="0"/>
              <w:spacing w:after="0" w:line="240" w:lineRule="auto"/>
              <w:contextualSpacing/>
              <w:rPr>
                <w:rFonts w:hint="default" w:ascii="Times New Roman" w:hAnsi="Times New Roman" w:cs="Times New Roman"/>
                <w:bCs/>
                <w:sz w:val="20"/>
                <w:szCs w:val="20"/>
              </w:rPr>
            </w:pPr>
            <w:r>
              <w:rPr>
                <w:rFonts w:hint="default" w:ascii="Times New Roman" w:hAnsi="Times New Roman" w:cs="Times New Roman"/>
                <w:iCs/>
                <w:sz w:val="20"/>
                <w:szCs w:val="20"/>
                <w:lang w:eastAsia="ja-JP"/>
              </w:rPr>
              <w:t xml:space="preserve">From RAN1’s perspective, there will be no further discussion on the four options that were agreed to </w:t>
            </w:r>
            <w:r>
              <w:rPr>
                <w:rFonts w:hint="default" w:ascii="Times New Roman" w:hAnsi="Times New Roman" w:cs="Times New Roman"/>
                <w:bCs/>
                <w:sz w:val="20"/>
                <w:szCs w:val="20"/>
              </w:rPr>
              <w:t>consider in the following agreement made in RAN1#112bis-e.</w:t>
            </w:r>
          </w:p>
          <w:tbl>
            <w:tblPr>
              <w:tblStyle w:val="27"/>
              <w:tblW w:w="0" w:type="auto"/>
              <w:tblInd w:w="392"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797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7970" w:type="dxa"/>
                  <w:shd w:val="clear" w:color="auto" w:fill="auto"/>
                </w:tcPr>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b/>
                      <w:sz w:val="20"/>
                      <w:szCs w:val="20"/>
                    </w:rPr>
                  </w:pPr>
                  <w:r>
                    <w:rPr>
                      <w:rFonts w:hint="default" w:ascii="Times New Roman" w:hAnsi="Times New Roman" w:cs="Times New Roman"/>
                      <w:b/>
                      <w:sz w:val="20"/>
                      <w:szCs w:val="20"/>
                      <w:highlight w:val="green"/>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To support NR carrier phase positioning, further consider the following</w:t>
                  </w:r>
                  <w:r>
                    <w:rPr>
                      <w:rFonts w:hint="default" w:ascii="Times New Roman" w:hAnsi="Times New Roman" w:cs="Times New Roman"/>
                      <w:sz w:val="20"/>
                      <w:szCs w:val="20"/>
                    </w:rPr>
                    <w:t xml:space="preserve"> options:</w:t>
                  </w:r>
                </w:p>
                <w:p>
                  <w:pPr>
                    <w:pStyle w:val="86"/>
                    <w:keepNext w:val="0"/>
                    <w:keepLines w:val="0"/>
                    <w:pageBreakBefore w:val="0"/>
                    <w:widowControl w:val="0"/>
                    <w:numPr>
                      <w:ilvl w:val="0"/>
                      <w:numId w:val="4"/>
                    </w:numPr>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Option 1: Support a UE/TRP to report the carrier phase measurements of more than one frequency within a PFL/carrier to LMF</w:t>
                  </w:r>
                </w:p>
                <w:p>
                  <w:pPr>
                    <w:pStyle w:val="81"/>
                    <w:keepNext w:val="0"/>
                    <w:keepLines w:val="0"/>
                    <w:pageBreakBefore w:val="0"/>
                    <w:widowControl w:val="0"/>
                    <w:numPr>
                      <w:ilvl w:val="1"/>
                      <w:numId w:val="4"/>
                    </w:numPr>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NOTE: the frequency can be the carrier frequency or the frequency of a subcarrier</w:t>
                  </w:r>
                </w:p>
                <w:p>
                  <w:pPr>
                    <w:pStyle w:val="81"/>
                    <w:keepNext w:val="0"/>
                    <w:keepLines w:val="0"/>
                    <w:pageBreakBefore w:val="0"/>
                    <w:widowControl w:val="0"/>
                    <w:numPr>
                      <w:ilvl w:val="1"/>
                      <w:numId w:val="4"/>
                    </w:numPr>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FFS: the details of reporting, e.g., the maximum number of reported frequencies within a PFL/ carrier</w:t>
                  </w:r>
                </w:p>
                <w:p>
                  <w:pPr>
                    <w:pStyle w:val="86"/>
                    <w:keepNext w:val="0"/>
                    <w:keepLines w:val="0"/>
                    <w:pageBreakBefore w:val="0"/>
                    <w:widowControl w:val="0"/>
                    <w:numPr>
                      <w:ilvl w:val="0"/>
                      <w:numId w:val="4"/>
                    </w:numPr>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Option 2: Introduce and report a</w:t>
                  </w:r>
                  <w:r>
                    <w:rPr>
                      <w:rFonts w:hint="default" w:ascii="Times New Roman" w:hAnsi="Times New Roman" w:eastAsia="Batang" w:cs="Times New Roman"/>
                      <w:sz w:val="20"/>
                      <w:szCs w:val="20"/>
                    </w:rPr>
                    <w:t xml:space="preserve"> new type of UE/TRP </w:t>
                  </w:r>
                  <w:r>
                    <w:rPr>
                      <w:rFonts w:hint="default" w:ascii="Times New Roman" w:hAnsi="Times New Roman" w:cs="Times New Roman"/>
                      <w:sz w:val="20"/>
                      <w:szCs w:val="20"/>
                    </w:rPr>
                    <w:t>measurement</w:t>
                  </w:r>
                  <w:r>
                    <w:rPr>
                      <w:rFonts w:hint="default" w:ascii="Times New Roman" w:hAnsi="Times New Roman" w:eastAsia="Batang" w:cs="Times New Roman"/>
                      <w:sz w:val="20"/>
                      <w:szCs w:val="20"/>
                    </w:rPr>
                    <w:t xml:space="preserve"> based on carrier phase differentials across multiple subcarriers within a PFL/carrier</w:t>
                  </w:r>
                </w:p>
                <w:p>
                  <w:pPr>
                    <w:pStyle w:val="81"/>
                    <w:keepNext w:val="0"/>
                    <w:keepLines w:val="0"/>
                    <w:pageBreakBefore w:val="0"/>
                    <w:widowControl w:val="0"/>
                    <w:numPr>
                      <w:ilvl w:val="1"/>
                      <w:numId w:val="4"/>
                    </w:numPr>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eastAsia="Batang" w:cs="Times New Roman"/>
                      <w:sz w:val="20"/>
                      <w:szCs w:val="20"/>
                    </w:rPr>
                    <w:t>carrier</w:t>
                  </w:r>
                  <w:r>
                    <w:rPr>
                      <w:rFonts w:hint="default" w:ascii="Times New Roman" w:hAnsi="Times New Roman" w:cs="Times New Roman"/>
                      <w:sz w:val="20"/>
                      <w:szCs w:val="20"/>
                    </w:rPr>
                    <w:t xml:space="preserve"> phase differentials across multiple subcarriers within a carrier can be related to time of arrival</w:t>
                  </w:r>
                </w:p>
                <w:p>
                  <w:pPr>
                    <w:pStyle w:val="86"/>
                    <w:keepNext w:val="0"/>
                    <w:keepLines w:val="0"/>
                    <w:pageBreakBefore w:val="0"/>
                    <w:widowControl w:val="0"/>
                    <w:numPr>
                      <w:ilvl w:val="0"/>
                      <w:numId w:val="4"/>
                    </w:numPr>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Option 3: Support a UE/TRP to optionally report an estimated integer ambiguity and/or search range of the integer ambiguity to LMF</w:t>
                  </w:r>
                </w:p>
                <w:p>
                  <w:pPr>
                    <w:pStyle w:val="86"/>
                    <w:keepNext w:val="0"/>
                    <w:keepLines w:val="0"/>
                    <w:pageBreakBefore w:val="0"/>
                    <w:widowControl w:val="0"/>
                    <w:numPr>
                      <w:ilvl w:val="0"/>
                      <w:numId w:val="4"/>
                    </w:numPr>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Option 4: Support LMF to provide the expected integer ambiguity range at least for UE-based NR CPP in the positioning assistance data.</w:t>
                  </w:r>
                </w:p>
              </w:tc>
            </w:tr>
          </w:tbl>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val="en-US"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val="en-US"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Subject to UE’s capability, if a UE Rx-Tx time difference/DL RSTD measurement is obtained with N</w:t>
            </w:r>
            <w:r>
              <w:rPr>
                <w:rFonts w:hint="default" w:ascii="Times New Roman" w:hAnsi="Times New Roman" w:cs="Times New Roman"/>
                <w:sz w:val="20"/>
                <w:szCs w:val="20"/>
                <w:vertAlign w:val="subscript"/>
                <w:lang w:val="en-US" w:eastAsia="zh-CN"/>
              </w:rPr>
              <w:t>sample</w:t>
            </w:r>
            <w:r>
              <w:rPr>
                <w:rFonts w:hint="default" w:ascii="Times New Roman" w:hAnsi="Times New Roman" w:cs="Times New Roman"/>
                <w:sz w:val="20"/>
                <w:szCs w:val="20"/>
                <w:lang w:val="en-US" w:eastAsia="zh-CN"/>
              </w:rPr>
              <w:t xml:space="preserve"> (=2, 4) samples, as defined in TS 38.133, the UE Rx-Tx time difference/DL RSTD measurement can be associated with (i.e., reported together with) up to N</w:t>
            </w:r>
            <w:r>
              <w:rPr>
                <w:rFonts w:hint="default" w:ascii="Times New Roman" w:hAnsi="Times New Roman" w:cs="Times New Roman"/>
                <w:sz w:val="20"/>
                <w:szCs w:val="20"/>
                <w:vertAlign w:val="subscript"/>
                <w:lang w:val="en-US" w:eastAsia="zh-CN"/>
              </w:rPr>
              <w:t>sample</w:t>
            </w:r>
            <w:r>
              <w:rPr>
                <w:rFonts w:hint="default" w:ascii="Times New Roman" w:hAnsi="Times New Roman" w:cs="Times New Roman"/>
                <w:sz w:val="20"/>
                <w:szCs w:val="20"/>
                <w:lang w:val="en-US" w:eastAsia="zh-CN"/>
              </w:rPr>
              <w:t xml:space="preserve"> RSCP/RSCPD measurements.</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A single RSCP/RSCPD measurement is obtained within one sample</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Each RSCP/RSCPD measurement has its own timestamp. </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Note: It is up to RAN2 on how to define signalling support for the reporting of the timestamps of the RSCP/RSCPD measurements.</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val="en-US"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Conclusion</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 further discussion in RAN1 regarding the support of standalone reporting of NR carrier phase measurements in Rel-18.</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jc w:val="both"/>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Endorse the following TP regarding the </w:t>
            </w:r>
            <w:r>
              <w:rPr>
                <w:rFonts w:hint="default" w:ascii="Times New Roman" w:hAnsi="Times New Roman" w:cs="Times New Roman"/>
                <w:sz w:val="20"/>
                <w:szCs w:val="20"/>
              </w:rPr>
              <w:t>reporting of the phase quality indication for the RSCP/RSCPD measurements</w:t>
            </w:r>
            <w:r>
              <w:rPr>
                <w:rFonts w:hint="default" w:ascii="Times New Roman" w:hAnsi="Times New Roman" w:eastAsia="等线" w:cs="Times New Roman"/>
                <w:sz w:val="20"/>
                <w:szCs w:val="20"/>
                <w:lang w:eastAsia="zh-CN"/>
              </w:rPr>
              <w:t xml:space="preserve"> in Clause 5.1.6.5 of TS 38.214.</w:t>
            </w:r>
          </w:p>
          <w:tbl>
            <w:tblPr>
              <w:tblStyle w:val="27"/>
              <w:tblW w:w="8542" w:type="dxa"/>
              <w:tblInd w:w="42" w:type="dxa"/>
              <w:tblLayout w:type="autofit"/>
              <w:tblCellMar>
                <w:top w:w="0" w:type="dxa"/>
                <w:left w:w="42" w:type="dxa"/>
                <w:bottom w:w="0" w:type="dxa"/>
                <w:right w:w="42" w:type="dxa"/>
              </w:tblCellMar>
            </w:tblPr>
            <w:tblGrid>
              <w:gridCol w:w="2694"/>
              <w:gridCol w:w="5848"/>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15"/>
                    <w:keepNext w:val="0"/>
                    <w:keepLines w:val="0"/>
                    <w:pageBreakBefore w:val="0"/>
                    <w:tabs>
                      <w:tab w:val="right" w:pos="2184"/>
                    </w:tabs>
                    <w:kinsoku/>
                    <w:wordWrap/>
                    <w:topLinePunct w:val="0"/>
                    <w:bidi w:val="0"/>
                    <w:adjustRightInd w:val="0"/>
                    <w:snapToGrid w:val="0"/>
                    <w:spacing w:after="0" w:line="240" w:lineRule="auto"/>
                    <w:rPr>
                      <w:rFonts w:hint="default" w:ascii="Times New Roman" w:hAnsi="Times New Roman" w:cs="Times New Roman"/>
                      <w:b/>
                      <w:i/>
                      <w:sz w:val="20"/>
                      <w:szCs w:val="20"/>
                    </w:rPr>
                  </w:pPr>
                  <w:r>
                    <w:rPr>
                      <w:rFonts w:hint="default" w:ascii="Times New Roman" w:hAnsi="Times New Roman" w:cs="Times New Roman"/>
                      <w:b/>
                      <w:i/>
                      <w:sz w:val="20"/>
                      <w:szCs w:val="20"/>
                    </w:rPr>
                    <w:t>Reason for change:</w:t>
                  </w:r>
                </w:p>
              </w:tc>
              <w:tc>
                <w:tcPr>
                  <w:tcW w:w="5848" w:type="dxa"/>
                  <w:tcBorders>
                    <w:top w:val="single" w:color="auto" w:sz="4" w:space="0"/>
                    <w:right w:val="single" w:color="auto" w:sz="4" w:space="0"/>
                  </w:tcBorders>
                  <w:shd w:val="pct30" w:color="FFFF00" w:fill="auto"/>
                </w:tcPr>
                <w:p>
                  <w:pPr>
                    <w:pStyle w:val="115"/>
                    <w:keepNext w:val="0"/>
                    <w:keepLines w:val="0"/>
                    <w:pageBreakBefore w:val="0"/>
                    <w:kinsoku/>
                    <w:wordWrap/>
                    <w:topLinePunct w:val="0"/>
                    <w:bidi w:val="0"/>
                    <w:adjustRightInd w:val="0"/>
                    <w:snapToGrid w:val="0"/>
                    <w:spacing w:after="0" w:line="240" w:lineRule="auto"/>
                    <w:ind w:left="100"/>
                    <w:jc w:val="both"/>
                    <w:rPr>
                      <w:rFonts w:hint="default" w:ascii="Times New Roman" w:hAnsi="Times New Roman" w:cs="Times New Roman"/>
                      <w:sz w:val="20"/>
                      <w:szCs w:val="20"/>
                    </w:rPr>
                  </w:pPr>
                  <w:r>
                    <w:rPr>
                      <w:rFonts w:hint="default" w:ascii="Times New Roman" w:hAnsi="Times New Roman" w:cs="Times New Roman"/>
                      <w:sz w:val="20"/>
                      <w:szCs w:val="20"/>
                    </w:rPr>
                    <w:t>The specification does not capture the following agreement made in RAN1#114 regarding to the report of the quality indication associated with DL RSCP/RSCPD measurement.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kinsoku/>
                    <w:wordWrap/>
                    <w:topLinePunct w:val="0"/>
                    <w:bidi w:val="0"/>
                    <w:adjustRightInd w:val="0"/>
                    <w:snapToGrid w:val="0"/>
                    <w:spacing w:after="0" w:line="240" w:lineRule="auto"/>
                    <w:contextualSpacing/>
                    <w:rPr>
                      <w:rFonts w:hint="default" w:ascii="Times New Roman" w:hAnsi="Times New Roman" w:cs="Times New Roman"/>
                      <w:sz w:val="20"/>
                      <w:szCs w:val="20"/>
                    </w:rPr>
                  </w:pPr>
                  <w:r>
                    <w:rPr>
                      <w:rFonts w:hint="default" w:ascii="Times New Roman" w:hAnsi="Times New Roman" w:cs="Times New Roman"/>
                      <w:sz w:val="20"/>
                      <w:szCs w:val="20"/>
                    </w:rPr>
                    <w:t>Support UE/TRP to report the phase quality indication for the RSCP/RSCPD measurements. The phase quality indication includes the following fields:</w:t>
                  </w:r>
                </w:p>
                <w:p>
                  <w:pPr>
                    <w:keepNext w:val="0"/>
                    <w:keepLines w:val="0"/>
                    <w:pageBreakBefore w:val="0"/>
                    <w:numPr>
                      <w:ilvl w:val="0"/>
                      <w:numId w:val="5"/>
                    </w:numPr>
                    <w:kinsoku/>
                    <w:wordWrap/>
                    <w:topLinePunct w:val="0"/>
                    <w:bidi w:val="0"/>
                    <w:adjustRightInd w:val="0"/>
                    <w:snapToGrid w:val="0"/>
                    <w:spacing w:after="0" w:line="240" w:lineRule="auto"/>
                    <w:contextualSpacing/>
                    <w:rPr>
                      <w:rFonts w:hint="default" w:ascii="Times New Roman" w:hAnsi="Times New Roman" w:cs="Times New Roman"/>
                      <w:sz w:val="20"/>
                      <w:szCs w:val="20"/>
                      <w:lang w:val="en-CA" w:eastAsia="zh-CN"/>
                    </w:rPr>
                  </w:pPr>
                  <w:r>
                    <w:rPr>
                      <w:rFonts w:hint="default" w:ascii="Times New Roman" w:hAnsi="Times New Roman" w:cs="Times New Roman"/>
                      <w:sz w:val="20"/>
                      <w:szCs w:val="20"/>
                      <w:lang w:val="en-CA" w:eastAsia="zh-CN"/>
                    </w:rPr>
                    <w:t>phase quality index</w:t>
                  </w:r>
                </w:p>
                <w:p>
                  <w:pPr>
                    <w:keepNext w:val="0"/>
                    <w:keepLines w:val="0"/>
                    <w:pageBreakBefore w:val="0"/>
                    <w:numPr>
                      <w:ilvl w:val="0"/>
                      <w:numId w:val="6"/>
                    </w:numPr>
                    <w:kinsoku/>
                    <w:wordWrap/>
                    <w:topLinePunct w:val="0"/>
                    <w:bidi w:val="0"/>
                    <w:adjustRightInd w:val="0"/>
                    <w:snapToGrid w:val="0"/>
                    <w:spacing w:after="0" w:line="240" w:lineRule="auto"/>
                    <w:contextualSpacing/>
                    <w:rPr>
                      <w:rFonts w:hint="default" w:ascii="Times New Roman" w:hAnsi="Times New Roman" w:cs="Times New Roman"/>
                      <w:sz w:val="20"/>
                      <w:szCs w:val="20"/>
                      <w:lang w:val="en-CA" w:eastAsia="zh-CN"/>
                    </w:rPr>
                  </w:pPr>
                  <w:r>
                    <w:rPr>
                      <w:rFonts w:hint="default" w:ascii="Times New Roman" w:hAnsi="Times New Roman" w:cs="Times New Roman"/>
                      <w:sz w:val="20"/>
                      <w:szCs w:val="20"/>
                      <w:lang w:val="en-CA" w:eastAsia="zh-CN"/>
                    </w:rPr>
                    <w:t>phase quality resolution</w:t>
                  </w:r>
                </w:p>
                <w:p>
                  <w:pPr>
                    <w:pStyle w:val="115"/>
                    <w:keepNext w:val="0"/>
                    <w:keepLines w:val="0"/>
                    <w:pageBreakBefore w:val="0"/>
                    <w:kinsoku/>
                    <w:wordWrap/>
                    <w:topLinePunct w:val="0"/>
                    <w:bidi w:val="0"/>
                    <w:adjustRightInd w:val="0"/>
                    <w:snapToGrid w:val="0"/>
                    <w:spacing w:after="0" w:line="240" w:lineRule="auto"/>
                    <w:ind w:left="100"/>
                    <w:jc w:val="both"/>
                    <w:rPr>
                      <w:rFonts w:hint="default" w:ascii="Times New Roman" w:hAnsi="Times New Roman" w:cs="Times New Roman"/>
                      <w:sz w:val="20"/>
                      <w:szCs w:val="20"/>
                    </w:rPr>
                  </w:pPr>
                </w:p>
              </w:tc>
            </w:tr>
            <w:tr>
              <w:tblPrEx>
                <w:tblCellMar>
                  <w:top w:w="0" w:type="dxa"/>
                  <w:left w:w="42" w:type="dxa"/>
                  <w:bottom w:w="0" w:type="dxa"/>
                  <w:right w:w="42" w:type="dxa"/>
                </w:tblCellMar>
              </w:tblPrEx>
              <w:tc>
                <w:tcPr>
                  <w:tcW w:w="2694" w:type="dxa"/>
                  <w:tcBorders>
                    <w:left w:val="single" w:color="auto" w:sz="4" w:space="0"/>
                  </w:tcBorders>
                </w:tcPr>
                <w:p>
                  <w:pPr>
                    <w:pStyle w:val="115"/>
                    <w:keepNext w:val="0"/>
                    <w:keepLines w:val="0"/>
                    <w:pageBreakBefore w:val="0"/>
                    <w:tabs>
                      <w:tab w:val="right" w:pos="2184"/>
                    </w:tabs>
                    <w:kinsoku/>
                    <w:wordWrap/>
                    <w:topLinePunct w:val="0"/>
                    <w:bidi w:val="0"/>
                    <w:adjustRightInd w:val="0"/>
                    <w:snapToGrid w:val="0"/>
                    <w:spacing w:after="0" w:line="240" w:lineRule="auto"/>
                    <w:rPr>
                      <w:rFonts w:hint="default" w:ascii="Times New Roman" w:hAnsi="Times New Roman" w:cs="Times New Roman"/>
                      <w:b/>
                      <w:i/>
                      <w:sz w:val="20"/>
                      <w:szCs w:val="20"/>
                    </w:rPr>
                  </w:pPr>
                  <w:r>
                    <w:rPr>
                      <w:rFonts w:hint="default" w:ascii="Times New Roman" w:hAnsi="Times New Roman" w:cs="Times New Roman"/>
                      <w:b/>
                      <w:i/>
                      <w:sz w:val="20"/>
                      <w:szCs w:val="20"/>
                    </w:rPr>
                    <w:t>Summary of change:</w:t>
                  </w:r>
                </w:p>
              </w:tc>
              <w:tc>
                <w:tcPr>
                  <w:tcW w:w="5848" w:type="dxa"/>
                  <w:tcBorders>
                    <w:right w:val="single" w:color="auto" w:sz="4" w:space="0"/>
                  </w:tcBorders>
                  <w:shd w:val="pct30" w:color="FFFF00" w:fill="auto"/>
                </w:tcPr>
                <w:p>
                  <w:pPr>
                    <w:pStyle w:val="115"/>
                    <w:keepNext w:val="0"/>
                    <w:keepLines w:val="0"/>
                    <w:pageBreakBefore w:val="0"/>
                    <w:kinsoku/>
                    <w:wordWrap/>
                    <w:topLinePunct w:val="0"/>
                    <w:bidi w:val="0"/>
                    <w:adjustRightInd w:val="0"/>
                    <w:snapToGrid w:val="0"/>
                    <w:spacing w:after="0" w:line="240" w:lineRule="auto"/>
                    <w:ind w:left="100"/>
                    <w:jc w:val="both"/>
                    <w:rPr>
                      <w:rFonts w:hint="default" w:ascii="Times New Roman" w:hAnsi="Times New Roman" w:cs="Times New Roman"/>
                      <w:sz w:val="20"/>
                      <w:szCs w:val="20"/>
                    </w:rPr>
                  </w:pPr>
                  <w:r>
                    <w:rPr>
                      <w:rFonts w:hint="default" w:ascii="Times New Roman" w:hAnsi="Times New Roman" w:cs="Times New Roman"/>
                      <w:sz w:val="20"/>
                      <w:szCs w:val="20"/>
                    </w:rPr>
                    <w:t>Add the report of the quality indication associated with DL RSCP/RSCPD measurement according to the agreement made in RAN1#114.</w:t>
                  </w: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5"/>
                    <w:keepNext w:val="0"/>
                    <w:keepLines w:val="0"/>
                    <w:pageBreakBefore w:val="0"/>
                    <w:tabs>
                      <w:tab w:val="right" w:pos="2184"/>
                    </w:tabs>
                    <w:kinsoku/>
                    <w:wordWrap/>
                    <w:topLinePunct w:val="0"/>
                    <w:bidi w:val="0"/>
                    <w:adjustRightInd w:val="0"/>
                    <w:snapToGrid w:val="0"/>
                    <w:spacing w:after="0" w:line="240" w:lineRule="auto"/>
                    <w:rPr>
                      <w:rFonts w:hint="default" w:ascii="Times New Roman" w:hAnsi="Times New Roman" w:cs="Times New Roman"/>
                      <w:b/>
                      <w:i/>
                      <w:sz w:val="20"/>
                      <w:szCs w:val="20"/>
                    </w:rPr>
                  </w:pPr>
                  <w:r>
                    <w:rPr>
                      <w:rFonts w:hint="default" w:ascii="Times New Roman" w:hAnsi="Times New Roman" w:cs="Times New Roman"/>
                      <w:b/>
                      <w:i/>
                      <w:sz w:val="20"/>
                      <w:szCs w:val="20"/>
                    </w:rPr>
                    <w:t>Consequences if not approved:</w:t>
                  </w:r>
                </w:p>
              </w:tc>
              <w:tc>
                <w:tcPr>
                  <w:tcW w:w="5848" w:type="dxa"/>
                  <w:tcBorders>
                    <w:bottom w:val="single" w:color="auto" w:sz="4" w:space="0"/>
                    <w:right w:val="single" w:color="auto" w:sz="4" w:space="0"/>
                  </w:tcBorders>
                  <w:shd w:val="pct30" w:color="FFFF00" w:fill="auto"/>
                </w:tcPr>
                <w:p>
                  <w:pPr>
                    <w:pStyle w:val="115"/>
                    <w:keepNext w:val="0"/>
                    <w:keepLines w:val="0"/>
                    <w:pageBreakBefore w:val="0"/>
                    <w:kinsoku/>
                    <w:wordWrap/>
                    <w:topLinePunct w:val="0"/>
                    <w:bidi w:val="0"/>
                    <w:adjustRightInd w:val="0"/>
                    <w:snapToGrid w:val="0"/>
                    <w:spacing w:after="0" w:line="240" w:lineRule="auto"/>
                    <w:ind w:left="100"/>
                    <w:rPr>
                      <w:rFonts w:hint="default" w:ascii="Times New Roman" w:hAnsi="Times New Roman" w:cs="Times New Roman"/>
                      <w:sz w:val="20"/>
                      <w:szCs w:val="20"/>
                    </w:rPr>
                  </w:pPr>
                  <w:r>
                    <w:rPr>
                      <w:rFonts w:hint="default" w:ascii="Times New Roman" w:hAnsi="Times New Roman" w:cs="Times New Roman"/>
                      <w:sz w:val="20"/>
                      <w:szCs w:val="20"/>
                    </w:rPr>
                    <w:t>Specification is not aligned with RAN1’s agreement and incomplete</w:t>
                  </w:r>
                </w:p>
              </w:tc>
            </w:tr>
          </w:tbl>
          <w:p>
            <w:pPr>
              <w:keepNext w:val="0"/>
              <w:keepLines w:val="0"/>
              <w:pageBreakBefore w:val="0"/>
              <w:kinsoku/>
              <w:wordWrap/>
              <w:topLinePunct w:val="0"/>
              <w:bidi w:val="0"/>
              <w:adjustRightInd w:val="0"/>
              <w:snapToGrid w:val="0"/>
              <w:spacing w:after="0" w:line="240" w:lineRule="auto"/>
              <w:rPr>
                <w:rFonts w:hint="default" w:ascii="Times New Roman" w:hAnsi="Times New Roman" w:eastAsia="等线" w:cs="Times New Roman"/>
                <w:b/>
                <w:sz w:val="20"/>
                <w:szCs w:val="20"/>
                <w:lang w:eastAsia="zh-CN"/>
              </w:rPr>
            </w:pPr>
          </w:p>
          <w:tbl>
            <w:tblPr>
              <w:tblStyle w:val="27"/>
              <w:tblW w:w="0" w:type="auto"/>
              <w:tblInd w:w="108"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818"/>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749" w:type="dxa"/>
                  <w:shd w:val="clear" w:color="auto" w:fill="auto"/>
                </w:tcPr>
                <w:p>
                  <w:pPr>
                    <w:pStyle w:val="5"/>
                    <w:keepNext w:val="0"/>
                    <w:keepLines w:val="0"/>
                    <w:pageBreakBefore w:val="0"/>
                    <w:kinsoku/>
                    <w:wordWrap/>
                    <w:topLinePunct w:val="0"/>
                    <w:bidi w:val="0"/>
                    <w:adjustRightInd w:val="0"/>
                    <w:snapToGrid w:val="0"/>
                    <w:spacing w:after="0" w:line="240" w:lineRule="auto"/>
                    <w:ind w:left="1304" w:hanging="1304"/>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5.1.6.5</w:t>
                  </w:r>
                  <w:r>
                    <w:rPr>
                      <w:rFonts w:hint="default" w:ascii="Times New Roman" w:hAnsi="Times New Roman" w:cs="Times New Roman"/>
                      <w:color w:val="000000"/>
                      <w:sz w:val="20"/>
                      <w:szCs w:val="20"/>
                    </w:rPr>
                    <w:tab/>
                  </w:r>
                  <w:r>
                    <w:rPr>
                      <w:rFonts w:hint="default" w:ascii="Times New Roman" w:hAnsi="Times New Roman" w:cs="Times New Roman"/>
                      <w:color w:val="000000"/>
                      <w:sz w:val="20"/>
                      <w:szCs w:val="20"/>
                    </w:rPr>
                    <w:t>PRS reception procedure</w:t>
                  </w:r>
                </w:p>
                <w:p>
                  <w:pPr>
                    <w:keepNext w:val="0"/>
                    <w:keepLines w:val="0"/>
                    <w:pageBreakBefore w:val="0"/>
                    <w:kinsoku/>
                    <w:wordWrap/>
                    <w:topLinePunct w:val="0"/>
                    <w:bidi w:val="0"/>
                    <w:adjustRightInd w:val="0"/>
                    <w:snapToGrid w:val="0"/>
                    <w:spacing w:after="0" w:line="240" w:lineRule="auto"/>
                    <w:jc w:val="center"/>
                    <w:rPr>
                      <w:rFonts w:hint="default" w:ascii="Times New Roman" w:hAnsi="Times New Roman" w:cs="Times New Roman"/>
                      <w:b/>
                      <w:i/>
                      <w:sz w:val="20"/>
                      <w:szCs w:val="20"/>
                      <w:lang w:eastAsia="zh-CN"/>
                    </w:rPr>
                  </w:pPr>
                  <w:r>
                    <w:rPr>
                      <w:rFonts w:hint="default" w:ascii="Times New Roman" w:hAnsi="Times New Roman" w:cs="Times New Roman"/>
                      <w:color w:val="FF0000"/>
                      <w:sz w:val="20"/>
                      <w:szCs w:val="20"/>
                      <w:lang w:eastAsia="zh-CN"/>
                    </w:rPr>
                    <w:t>===================== Unchanged parts omitted ======================</w:t>
                  </w:r>
                </w:p>
                <w:p>
                  <w:pPr>
                    <w:keepNext w:val="0"/>
                    <w:keepLines w:val="0"/>
                    <w:pageBreakBefore w:val="0"/>
                    <w:kinsoku/>
                    <w:wordWrap/>
                    <w:topLinePunct w:val="0"/>
                    <w:bidi w:val="0"/>
                    <w:adjustRightInd w:val="0"/>
                    <w:snapToGrid w:val="0"/>
                    <w:spacing w:after="0" w:line="240" w:lineRule="auto"/>
                    <w:rPr>
                      <w:rFonts w:hint="default" w:ascii="Times New Roman" w:hAnsi="Times New Roman" w:eastAsia="等线" w:cs="Times New Roman"/>
                      <w:i/>
                      <w:iCs/>
                      <w:sz w:val="20"/>
                      <w:szCs w:val="20"/>
                      <w:lang w:eastAsia="zh-CN"/>
                    </w:rPr>
                  </w:pPr>
                </w:p>
                <w:p>
                  <w:pPr>
                    <w:keepNext w:val="0"/>
                    <w:keepLines w:val="0"/>
                    <w:pageBreakBefore w:val="0"/>
                    <w:kinsoku/>
                    <w:wordWrap/>
                    <w:topLinePunct w:val="0"/>
                    <w:autoSpaceDN w:val="0"/>
                    <w:bidi w:val="0"/>
                    <w:adjustRightInd w:val="0"/>
                    <w:snapToGrid w:val="0"/>
                    <w:spacing w:after="0" w:line="240" w:lineRule="auto"/>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The UE may be configured with [higher layer parameter] which contains DL carrier phase measurements performed by a positioning reference unit (PRU) [20, TS 38.305] along with the location information of the PRU. </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UE may be configured to report quality metrics [higher layer parameter] corresponding to the DL </w:t>
                  </w:r>
                  <w:r>
                    <w:rPr>
                      <w:rFonts w:hint="default" w:ascii="Times New Roman" w:hAnsi="Times New Roman" w:cs="Times New Roman"/>
                      <w:sz w:val="20"/>
                      <w:szCs w:val="20"/>
                      <w:lang w:eastAsia="zh-CN"/>
                    </w:rPr>
                    <w:t>RSCP</w:t>
                  </w:r>
                  <w:r>
                    <w:rPr>
                      <w:rFonts w:hint="default" w:ascii="Times New Roman" w:hAnsi="Times New Roman" w:cs="Times New Roman"/>
                      <w:sz w:val="20"/>
                      <w:szCs w:val="20"/>
                    </w:rPr>
                    <w:t xml:space="preserve"> and RSCPD measurements which include the following fields [17, TS 37.355]:</w:t>
                  </w:r>
                </w:p>
                <w:p>
                  <w:pPr>
                    <w:pStyle w:val="86"/>
                    <w:keepNext w:val="0"/>
                    <w:keepLines w:val="0"/>
                    <w:pageBreakBefore w:val="0"/>
                    <w:kinsoku/>
                    <w:wordWrap/>
                    <w:topLinePunct w:val="0"/>
                    <w:bidi w:val="0"/>
                    <w:adjustRightInd w:val="0"/>
                    <w:snapToGrid w:val="0"/>
                    <w:spacing w:after="0" w:line="240" w:lineRule="auto"/>
                    <w:rPr>
                      <w:rFonts w:hint="default" w:ascii="Times New Roman" w:hAnsi="Times New Roman" w:cs="Times New Roman"/>
                      <w:iCs/>
                      <w:sz w:val="20"/>
                      <w:szCs w:val="20"/>
                      <w:lang w:val="en-US" w:eastAsia="ja-JP"/>
                    </w:rPr>
                  </w:pPr>
                  <w:r>
                    <w:rPr>
                      <w:rFonts w:hint="default" w:ascii="Times New Roman" w:hAnsi="Times New Roman" w:cs="Times New Roman"/>
                      <w:i/>
                      <w:sz w:val="20"/>
                      <w:szCs w:val="20"/>
                    </w:rPr>
                    <w:t>-</w:t>
                  </w:r>
                  <w:r>
                    <w:rPr>
                      <w:rFonts w:hint="default" w:ascii="Times New Roman" w:hAnsi="Times New Roman" w:cs="Times New Roman"/>
                      <w:i/>
                      <w:sz w:val="20"/>
                      <w:szCs w:val="20"/>
                    </w:rPr>
                    <w:tab/>
                  </w:r>
                  <w:r>
                    <w:rPr>
                      <w:rFonts w:hint="default" w:ascii="Times New Roman" w:hAnsi="Times New Roman" w:cs="Times New Roman"/>
                      <w:i/>
                      <w:sz w:val="20"/>
                      <w:szCs w:val="20"/>
                      <w:lang w:val="en-US"/>
                    </w:rPr>
                    <w:t>[</w:t>
                  </w:r>
                  <w:r>
                    <w:rPr>
                      <w:rFonts w:hint="default" w:ascii="Times New Roman" w:hAnsi="Times New Roman" w:cs="Times New Roman"/>
                      <w:i/>
                      <w:iCs/>
                      <w:sz w:val="20"/>
                      <w:szCs w:val="20"/>
                    </w:rPr>
                    <w:t>phase</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z w:val="20"/>
                      <w:szCs w:val="20"/>
                    </w:rPr>
                    <w:t>quality</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z w:val="20"/>
                      <w:szCs w:val="20"/>
                    </w:rPr>
                    <w:t>index</w:t>
                  </w:r>
                  <w:r>
                    <w:rPr>
                      <w:rFonts w:hint="default" w:ascii="Times New Roman" w:hAnsi="Times New Roman" w:cs="Times New Roman"/>
                      <w:i/>
                      <w:iCs/>
                      <w:sz w:val="20"/>
                      <w:szCs w:val="20"/>
                      <w:lang w:val="en-US"/>
                    </w:rPr>
                    <w:t>]</w:t>
                  </w:r>
                  <w:r>
                    <w:rPr>
                      <w:rFonts w:hint="default" w:ascii="Times New Roman" w:hAnsi="Times New Roman" w:cs="Times New Roman"/>
                      <w:i/>
                      <w:iCs/>
                      <w:sz w:val="20"/>
                      <w:szCs w:val="20"/>
                    </w:rPr>
                    <w:t xml:space="preserve"> </w:t>
                  </w:r>
                  <w:r>
                    <w:rPr>
                      <w:rFonts w:hint="default" w:ascii="Times New Roman" w:hAnsi="Times New Roman" w:cs="Times New Roman"/>
                      <w:sz w:val="20"/>
                      <w:szCs w:val="20"/>
                    </w:rPr>
                    <w:t>which provides the uncertainty of the measurement</w:t>
                  </w:r>
                </w:p>
                <w:p>
                  <w:pPr>
                    <w:pStyle w:val="86"/>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i/>
                      <w:sz w:val="20"/>
                      <w:szCs w:val="20"/>
                    </w:rPr>
                    <w:t>-</w:t>
                  </w:r>
                  <w:r>
                    <w:rPr>
                      <w:rFonts w:hint="default" w:ascii="Times New Roman" w:hAnsi="Times New Roman" w:cs="Times New Roman"/>
                      <w:i/>
                      <w:sz w:val="20"/>
                      <w:szCs w:val="20"/>
                    </w:rPr>
                    <w:tab/>
                  </w:r>
                  <w:r>
                    <w:rPr>
                      <w:rFonts w:hint="default" w:ascii="Times New Roman" w:hAnsi="Times New Roman" w:cs="Times New Roman"/>
                      <w:i/>
                      <w:sz w:val="20"/>
                      <w:szCs w:val="20"/>
                      <w:lang w:val="en-US"/>
                    </w:rPr>
                    <w:t>[</w:t>
                  </w:r>
                  <w:r>
                    <w:rPr>
                      <w:rFonts w:hint="default" w:ascii="Times New Roman" w:hAnsi="Times New Roman" w:cs="Times New Roman"/>
                      <w:i/>
                      <w:iCs/>
                      <w:snapToGrid w:val="0"/>
                      <w:sz w:val="20"/>
                      <w:szCs w:val="20"/>
                    </w:rPr>
                    <w:t>phase</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napToGrid w:val="0"/>
                      <w:sz w:val="20"/>
                      <w:szCs w:val="20"/>
                    </w:rPr>
                    <w:t>quality</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napToGrid w:val="0"/>
                      <w:sz w:val="20"/>
                      <w:szCs w:val="20"/>
                    </w:rPr>
                    <w:t>resolution</w:t>
                  </w:r>
                  <w:r>
                    <w:rPr>
                      <w:rFonts w:hint="default" w:ascii="Times New Roman" w:hAnsi="Times New Roman" w:cs="Times New Roman"/>
                      <w:i/>
                      <w:iCs/>
                      <w:snapToGrid w:val="0"/>
                      <w:sz w:val="20"/>
                      <w:szCs w:val="20"/>
                      <w:lang w:val="en-US"/>
                    </w:rPr>
                    <w:t>]</w:t>
                  </w:r>
                  <w:r>
                    <w:rPr>
                      <w:rFonts w:hint="default" w:ascii="Times New Roman" w:hAnsi="Times New Roman" w:cs="Times New Roman"/>
                      <w:i/>
                      <w:iCs/>
                      <w:snapToGrid w:val="0"/>
                      <w:sz w:val="20"/>
                      <w:szCs w:val="20"/>
                    </w:rPr>
                    <w:t xml:space="preserve"> </w:t>
                  </w:r>
                  <w:r>
                    <w:rPr>
                      <w:rFonts w:hint="default" w:ascii="Times New Roman" w:hAnsi="Times New Roman" w:cs="Times New Roman"/>
                      <w:sz w:val="20"/>
                      <w:szCs w:val="20"/>
                    </w:rPr>
                    <w:t xml:space="preserve">which specifies the resolution levels used in the </w:t>
                  </w:r>
                  <w:r>
                    <w:rPr>
                      <w:rFonts w:hint="default" w:ascii="Times New Roman" w:hAnsi="Times New Roman" w:cs="Times New Roman"/>
                      <w:sz w:val="20"/>
                      <w:szCs w:val="20"/>
                      <w:lang w:val="en-US"/>
                    </w:rPr>
                    <w:t>[</w:t>
                  </w:r>
                  <w:r>
                    <w:rPr>
                      <w:rFonts w:hint="default" w:ascii="Times New Roman" w:hAnsi="Times New Roman" w:cs="Times New Roman"/>
                      <w:i/>
                      <w:iCs/>
                      <w:sz w:val="20"/>
                      <w:szCs w:val="20"/>
                    </w:rPr>
                    <w:t>phase</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z w:val="20"/>
                      <w:szCs w:val="20"/>
                    </w:rPr>
                    <w:t>quality</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z w:val="20"/>
                      <w:szCs w:val="20"/>
                    </w:rPr>
                    <w:t>index</w:t>
                  </w:r>
                  <w:r>
                    <w:rPr>
                      <w:rFonts w:hint="default" w:ascii="Times New Roman" w:hAnsi="Times New Roman" w:cs="Times New Roman"/>
                      <w:i/>
                      <w:iCs/>
                      <w:sz w:val="20"/>
                      <w:szCs w:val="20"/>
                      <w:lang w:val="en-US"/>
                    </w:rPr>
                    <w:t>]</w:t>
                  </w:r>
                  <w:r>
                    <w:rPr>
                      <w:rFonts w:hint="default" w:ascii="Times New Roman" w:hAnsi="Times New Roman" w:cs="Times New Roman"/>
                      <w:sz w:val="20"/>
                      <w:szCs w:val="20"/>
                    </w:rPr>
                    <w:t xml:space="preserve"> field.</w:t>
                  </w:r>
                </w:p>
                <w:p>
                  <w:pPr>
                    <w:keepNext w:val="0"/>
                    <w:keepLines w:val="0"/>
                    <w:pageBreakBefore w:val="0"/>
                    <w:kinsoku/>
                    <w:wordWrap/>
                    <w:topLinePunct w:val="0"/>
                    <w:bidi w:val="0"/>
                    <w:adjustRightInd w:val="0"/>
                    <w:snapToGrid w:val="0"/>
                    <w:spacing w:after="0" w:line="240" w:lineRule="auto"/>
                    <w:jc w:val="center"/>
                    <w:rPr>
                      <w:rFonts w:hint="default" w:ascii="Times New Roman" w:hAnsi="Times New Roman" w:cs="Times New Roman"/>
                      <w:b/>
                      <w:i/>
                      <w:sz w:val="20"/>
                      <w:szCs w:val="20"/>
                      <w:lang w:eastAsia="zh-CN"/>
                    </w:rPr>
                  </w:pPr>
                  <w:r>
                    <w:rPr>
                      <w:rFonts w:hint="default" w:ascii="Times New Roman" w:hAnsi="Times New Roman" w:cs="Times New Roman"/>
                      <w:color w:val="FF0000"/>
                      <w:sz w:val="20"/>
                      <w:szCs w:val="20"/>
                      <w:lang w:eastAsia="zh-CN"/>
                    </w:rPr>
                    <w:t>===================== Unchanged parts omitted ======================</w:t>
                  </w:r>
                </w:p>
                <w:p>
                  <w:pPr>
                    <w:keepNext w:val="0"/>
                    <w:keepLines w:val="0"/>
                    <w:pageBreakBefore w:val="0"/>
                    <w:kinsoku/>
                    <w:wordWrap/>
                    <w:topLinePunct w:val="0"/>
                    <w:bidi w:val="0"/>
                    <w:adjustRightInd w:val="0"/>
                    <w:snapToGrid w:val="0"/>
                    <w:spacing w:after="0" w:line="240" w:lineRule="auto"/>
                    <w:rPr>
                      <w:rFonts w:hint="default" w:ascii="Times New Roman" w:hAnsi="Times New Roman" w:eastAsia="等线" w:cs="Times New Roman"/>
                      <w:b/>
                      <w:sz w:val="20"/>
                      <w:szCs w:val="20"/>
                      <w:lang w:eastAsia="zh-CN"/>
                    </w:rPr>
                  </w:pPr>
                </w:p>
              </w:tc>
            </w:tr>
          </w:tbl>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timing windows, which were agreed to be introduced for simultaneous PRS measurements in Rel-18, are applicable for UE in RRC_CONNECTED, RRC_INACTIVE, and RRC_IDLE states.</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no RAN1 specification impact.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timing windows, which were agreed to be introduced for simultaneous SRS for positioning transmission in Rel-18, are applicable for UE in RRC_CONNECTED and RRC_INACTIVE states.</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no RAN1 specification impact.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Endorse the TP in Section 9.1 of R1-2310285 for Clause 5.1.6.5 of TS 38.214.</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tbl>
            <w:tblPr>
              <w:tblStyle w:val="27"/>
              <w:tblW w:w="8530" w:type="dxa"/>
              <w:tblInd w:w="42" w:type="dxa"/>
              <w:tblLayout w:type="autofit"/>
              <w:tblCellMar>
                <w:top w:w="0" w:type="dxa"/>
                <w:left w:w="42" w:type="dxa"/>
                <w:bottom w:w="0" w:type="dxa"/>
                <w:right w:w="42" w:type="dxa"/>
              </w:tblCellMar>
            </w:tblPr>
            <w:tblGrid>
              <w:gridCol w:w="2569"/>
              <w:gridCol w:w="5961"/>
            </w:tblGrid>
            <w:tr>
              <w:tblPrEx>
                <w:tblCellMar>
                  <w:top w:w="0" w:type="dxa"/>
                  <w:left w:w="42" w:type="dxa"/>
                  <w:bottom w:w="0" w:type="dxa"/>
                  <w:right w:w="42" w:type="dxa"/>
                </w:tblCellMar>
              </w:tblPrEx>
              <w:trPr>
                <w:trHeight w:val="1848" w:hRule="atLeast"/>
              </w:trPr>
              <w:tc>
                <w:tcPr>
                  <w:tcW w:w="2569" w:type="dxa"/>
                  <w:tcBorders>
                    <w:top w:val="single" w:color="auto" w:sz="4" w:space="0"/>
                    <w:left w:val="single" w:color="auto" w:sz="4" w:space="0"/>
                  </w:tcBorders>
                </w:tcPr>
                <w:p>
                  <w:pPr>
                    <w:pStyle w:val="115"/>
                    <w:keepNext w:val="0"/>
                    <w:keepLines w:val="0"/>
                    <w:pageBreakBefore w:val="0"/>
                    <w:tabs>
                      <w:tab w:val="right" w:pos="2184"/>
                    </w:tabs>
                    <w:kinsoku/>
                    <w:wordWrap/>
                    <w:topLinePunct w:val="0"/>
                    <w:bidi w:val="0"/>
                    <w:adjustRightInd w:val="0"/>
                    <w:snapToGrid w:val="0"/>
                    <w:spacing w:after="0" w:line="240" w:lineRule="auto"/>
                    <w:rPr>
                      <w:rFonts w:hint="default" w:ascii="Times New Roman" w:hAnsi="Times New Roman" w:cs="Times New Roman"/>
                      <w:b/>
                      <w:i/>
                      <w:sz w:val="20"/>
                      <w:szCs w:val="20"/>
                    </w:rPr>
                  </w:pPr>
                  <w:r>
                    <w:rPr>
                      <w:rFonts w:hint="default" w:ascii="Times New Roman" w:hAnsi="Times New Roman" w:cs="Times New Roman"/>
                      <w:b/>
                      <w:i/>
                      <w:sz w:val="20"/>
                      <w:szCs w:val="20"/>
                    </w:rPr>
                    <w:t>Reason for change:</w:t>
                  </w:r>
                </w:p>
              </w:tc>
              <w:tc>
                <w:tcPr>
                  <w:tcW w:w="5961" w:type="dxa"/>
                  <w:tcBorders>
                    <w:top w:val="single" w:color="auto" w:sz="4" w:space="0"/>
                    <w:right w:val="single" w:color="auto" w:sz="4" w:space="0"/>
                  </w:tcBorders>
                  <w:shd w:val="pct30" w:color="FFFF00" w:fill="auto"/>
                </w:tcPr>
                <w:p>
                  <w:pPr>
                    <w:pStyle w:val="115"/>
                    <w:keepNext w:val="0"/>
                    <w:keepLines w:val="0"/>
                    <w:pageBreakBefore w:val="0"/>
                    <w:kinsoku/>
                    <w:wordWrap/>
                    <w:topLinePunct w:val="0"/>
                    <w:bidi w:val="0"/>
                    <w:adjustRightInd w:val="0"/>
                    <w:snapToGrid w:val="0"/>
                    <w:spacing w:after="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The following agreement made in RAN1#114 meeting is not captured in the current TS 38.214.</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kinsoku/>
                    <w:wordWrap/>
                    <w:topLinePunct w:val="0"/>
                    <w:bidi w:val="0"/>
                    <w:adjustRightInd w:val="0"/>
                    <w:snapToGrid w:val="0"/>
                    <w:spacing w:after="0" w:line="240" w:lineRule="auto"/>
                    <w:ind w:left="720"/>
                    <w:contextualSpacing/>
                    <w:rPr>
                      <w:rFonts w:hint="default" w:ascii="Times New Roman" w:hAnsi="Times New Roman" w:cs="Times New Roman"/>
                      <w:sz w:val="20"/>
                      <w:szCs w:val="20"/>
                      <w:lang w:val="en-CA"/>
                    </w:rPr>
                  </w:pPr>
                  <w:r>
                    <w:rPr>
                      <w:rFonts w:hint="default" w:ascii="Times New Roman" w:hAnsi="Times New Roman" w:eastAsia="Times New Roman" w:cs="Times New Roman"/>
                      <w:sz w:val="20"/>
                      <w:szCs w:val="20"/>
                      <w:lang w:val="en-US"/>
                    </w:rPr>
                    <w:t>For UE-based carrier phase positioning, when LMF forwards the DL carrier phase measurement reported by a PRU to a target UE, the timestamp associated with the PRU carrier phase measurements should also be forwarded in positioning assistance data.</w:t>
                  </w:r>
                </w:p>
              </w:tc>
            </w:tr>
            <w:tr>
              <w:tblPrEx>
                <w:tblCellMar>
                  <w:top w:w="0" w:type="dxa"/>
                  <w:left w:w="42" w:type="dxa"/>
                  <w:bottom w:w="0" w:type="dxa"/>
                  <w:right w:w="42" w:type="dxa"/>
                </w:tblCellMar>
              </w:tblPrEx>
              <w:trPr>
                <w:trHeight w:val="332" w:hRule="atLeast"/>
              </w:trPr>
              <w:tc>
                <w:tcPr>
                  <w:tcW w:w="2569" w:type="dxa"/>
                  <w:tcBorders>
                    <w:left w:val="single" w:color="auto" w:sz="4" w:space="0"/>
                  </w:tcBorders>
                </w:tcPr>
                <w:p>
                  <w:pPr>
                    <w:pStyle w:val="115"/>
                    <w:keepNext w:val="0"/>
                    <w:keepLines w:val="0"/>
                    <w:pageBreakBefore w:val="0"/>
                    <w:tabs>
                      <w:tab w:val="right" w:pos="2184"/>
                    </w:tabs>
                    <w:kinsoku/>
                    <w:wordWrap/>
                    <w:topLinePunct w:val="0"/>
                    <w:bidi w:val="0"/>
                    <w:adjustRightInd w:val="0"/>
                    <w:snapToGrid w:val="0"/>
                    <w:spacing w:after="0" w:line="240" w:lineRule="auto"/>
                    <w:rPr>
                      <w:rFonts w:hint="default" w:ascii="Times New Roman" w:hAnsi="Times New Roman" w:cs="Times New Roman"/>
                      <w:b/>
                      <w:i/>
                      <w:sz w:val="20"/>
                      <w:szCs w:val="20"/>
                    </w:rPr>
                  </w:pPr>
                  <w:r>
                    <w:rPr>
                      <w:rFonts w:hint="default" w:ascii="Times New Roman" w:hAnsi="Times New Roman" w:cs="Times New Roman"/>
                      <w:b/>
                      <w:i/>
                      <w:sz w:val="20"/>
                      <w:szCs w:val="20"/>
                    </w:rPr>
                    <w:t>Summary of change:</w:t>
                  </w:r>
                </w:p>
              </w:tc>
              <w:tc>
                <w:tcPr>
                  <w:tcW w:w="5961" w:type="dxa"/>
                  <w:tcBorders>
                    <w:right w:val="single" w:color="auto" w:sz="4" w:space="0"/>
                  </w:tcBorders>
                  <w:shd w:val="pct30" w:color="FFFF00" w:fill="auto"/>
                </w:tcPr>
                <w:p>
                  <w:pPr>
                    <w:pStyle w:val="115"/>
                    <w:keepNext w:val="0"/>
                    <w:keepLines w:val="0"/>
                    <w:pageBreakBefore w:val="0"/>
                    <w:kinsoku/>
                    <w:wordWrap/>
                    <w:topLinePunct w:val="0"/>
                    <w:bidi w:val="0"/>
                    <w:adjustRightInd w:val="0"/>
                    <w:snapToGrid w:val="0"/>
                    <w:spacing w:after="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Capture the above agreement in TS 38.214</w:t>
                  </w:r>
                </w:p>
              </w:tc>
            </w:tr>
            <w:tr>
              <w:tblPrEx>
                <w:tblCellMar>
                  <w:top w:w="0" w:type="dxa"/>
                  <w:left w:w="42" w:type="dxa"/>
                  <w:bottom w:w="0" w:type="dxa"/>
                  <w:right w:w="42" w:type="dxa"/>
                </w:tblCellMar>
              </w:tblPrEx>
              <w:trPr>
                <w:trHeight w:val="332" w:hRule="atLeast"/>
              </w:trPr>
              <w:tc>
                <w:tcPr>
                  <w:tcW w:w="2569" w:type="dxa"/>
                  <w:tcBorders>
                    <w:left w:val="single" w:color="auto" w:sz="4" w:space="0"/>
                    <w:bottom w:val="single" w:color="auto" w:sz="4" w:space="0"/>
                  </w:tcBorders>
                </w:tcPr>
                <w:p>
                  <w:pPr>
                    <w:pStyle w:val="115"/>
                    <w:keepNext w:val="0"/>
                    <w:keepLines w:val="0"/>
                    <w:pageBreakBefore w:val="0"/>
                    <w:tabs>
                      <w:tab w:val="right" w:pos="2184"/>
                    </w:tabs>
                    <w:kinsoku/>
                    <w:wordWrap/>
                    <w:topLinePunct w:val="0"/>
                    <w:bidi w:val="0"/>
                    <w:adjustRightInd w:val="0"/>
                    <w:snapToGrid w:val="0"/>
                    <w:spacing w:after="0" w:line="240" w:lineRule="auto"/>
                    <w:rPr>
                      <w:rFonts w:hint="default" w:ascii="Times New Roman" w:hAnsi="Times New Roman" w:cs="Times New Roman"/>
                      <w:b/>
                      <w:i/>
                      <w:sz w:val="20"/>
                      <w:szCs w:val="20"/>
                    </w:rPr>
                  </w:pPr>
                  <w:r>
                    <w:rPr>
                      <w:rFonts w:hint="default" w:ascii="Times New Roman" w:hAnsi="Times New Roman" w:cs="Times New Roman"/>
                      <w:b/>
                      <w:i/>
                      <w:sz w:val="20"/>
                      <w:szCs w:val="20"/>
                    </w:rPr>
                    <w:t>Consequences if not approved:</w:t>
                  </w:r>
                </w:p>
              </w:tc>
              <w:tc>
                <w:tcPr>
                  <w:tcW w:w="5961" w:type="dxa"/>
                  <w:tcBorders>
                    <w:bottom w:val="single" w:color="auto" w:sz="4" w:space="0"/>
                    <w:right w:val="single" w:color="auto" w:sz="4" w:space="0"/>
                  </w:tcBorders>
                  <w:shd w:val="pct30" w:color="FFFF00" w:fill="auto"/>
                </w:tcPr>
                <w:p>
                  <w:pPr>
                    <w:pStyle w:val="115"/>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Specification TS 38.214 is incomplete</w:t>
                  </w:r>
                </w:p>
              </w:tc>
            </w:tr>
          </w:tbl>
          <w:p>
            <w:pPr>
              <w:pStyle w:val="93"/>
              <w:keepNext w:val="0"/>
              <w:keepLines w:val="0"/>
              <w:pageBreakBefore w:val="0"/>
              <w:kinsoku/>
              <w:wordWrap/>
              <w:topLinePunct w:val="0"/>
              <w:bidi w:val="0"/>
              <w:adjustRightInd w:val="0"/>
              <w:snapToGrid w:val="0"/>
              <w:spacing w:before="0" w:after="0" w:line="240" w:lineRule="auto"/>
              <w:ind w:left="0" w:firstLine="0"/>
              <w:rPr>
                <w:rFonts w:hint="default" w:ascii="Times New Roman" w:hAnsi="Times New Roman" w:cs="Times New Roman"/>
                <w:iCs/>
                <w:sz w:val="20"/>
                <w:szCs w:val="20"/>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8572" w:type="dxa"/>
                </w:tcPr>
                <w:p>
                  <w:pPr>
                    <w:pStyle w:val="5"/>
                    <w:keepNext w:val="0"/>
                    <w:keepLines w:val="0"/>
                    <w:pageBreakBefore w:val="0"/>
                    <w:kinsoku/>
                    <w:wordWrap/>
                    <w:topLinePunct w:val="0"/>
                    <w:bidi w:val="0"/>
                    <w:adjustRightInd w:val="0"/>
                    <w:snapToGrid w:val="0"/>
                    <w:spacing w:after="0" w:line="240" w:lineRule="auto"/>
                    <w:ind w:left="1304" w:hanging="1304"/>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5.1.6.5</w:t>
                  </w:r>
                  <w:r>
                    <w:rPr>
                      <w:rFonts w:hint="default" w:ascii="Times New Roman" w:hAnsi="Times New Roman" w:cs="Times New Roman"/>
                      <w:color w:val="000000"/>
                      <w:sz w:val="20"/>
                      <w:szCs w:val="20"/>
                    </w:rPr>
                    <w:tab/>
                  </w:r>
                  <w:r>
                    <w:rPr>
                      <w:rFonts w:hint="default" w:ascii="Times New Roman" w:hAnsi="Times New Roman" w:cs="Times New Roman"/>
                      <w:color w:val="000000"/>
                      <w:sz w:val="20"/>
                      <w:szCs w:val="20"/>
                    </w:rPr>
                    <w:t>PRS reception procedure</w:t>
                  </w:r>
                </w:p>
                <w:p>
                  <w:pPr>
                    <w:keepNext w:val="0"/>
                    <w:keepLines w:val="0"/>
                    <w:pageBreakBefore w:val="0"/>
                    <w:kinsoku/>
                    <w:wordWrap/>
                    <w:topLinePunct w:val="0"/>
                    <w:bidi w:val="0"/>
                    <w:adjustRightInd w:val="0"/>
                    <w:snapToGrid w:val="0"/>
                    <w:spacing w:after="0" w:line="240" w:lineRule="auto"/>
                    <w:jc w:val="center"/>
                    <w:rPr>
                      <w:rFonts w:hint="default" w:ascii="Times New Roman" w:hAnsi="Times New Roman" w:cs="Times New Roman"/>
                      <w:b/>
                      <w:i/>
                      <w:sz w:val="20"/>
                      <w:szCs w:val="20"/>
                      <w:lang w:eastAsia="zh-CN"/>
                    </w:rPr>
                  </w:pPr>
                  <w:r>
                    <w:rPr>
                      <w:rFonts w:hint="default" w:ascii="Times New Roman" w:hAnsi="Times New Roman" w:cs="Times New Roman"/>
                      <w:color w:val="FF0000"/>
                      <w:sz w:val="20"/>
                      <w:szCs w:val="20"/>
                      <w:lang w:eastAsia="zh-CN"/>
                    </w:rPr>
                    <w:t>===================== Unchanged parts omitted ======================</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UE may be </w:t>
                  </w:r>
                  <w:r>
                    <w:rPr>
                      <w:rFonts w:hint="default" w:ascii="Times New Roman" w:hAnsi="Times New Roman" w:cs="Times New Roman"/>
                      <w:strike/>
                      <w:sz w:val="20"/>
                      <w:szCs w:val="20"/>
                    </w:rPr>
                    <w:t>configured</w:t>
                  </w:r>
                  <w:r>
                    <w:rPr>
                      <w:rFonts w:hint="default" w:ascii="Times New Roman" w:hAnsi="Times New Roman" w:cs="Times New Roman"/>
                      <w:sz w:val="20"/>
                      <w:szCs w:val="20"/>
                    </w:rPr>
                    <w:t xml:space="preserve">provided with [higher layer parameter] which contains DL carrier phase measurements performed by a positioning reference unit (PRU) [20, TS 38.305], the timestamps associated with the measurements, and </w:t>
                  </w:r>
                  <w:r>
                    <w:rPr>
                      <w:rFonts w:hint="default" w:ascii="Times New Roman" w:hAnsi="Times New Roman" w:cs="Times New Roman"/>
                      <w:strike/>
                      <w:sz w:val="20"/>
                      <w:szCs w:val="20"/>
                    </w:rPr>
                    <w:t>along with</w:t>
                  </w:r>
                  <w:r>
                    <w:rPr>
                      <w:rFonts w:hint="default" w:ascii="Times New Roman" w:hAnsi="Times New Roman" w:cs="Times New Roman"/>
                      <w:sz w:val="20"/>
                      <w:szCs w:val="20"/>
                    </w:rPr>
                    <w:t xml:space="preserve"> the location information of the PRU. </w:t>
                  </w:r>
                </w:p>
                <w:p>
                  <w:pPr>
                    <w:keepNext w:val="0"/>
                    <w:keepLines w:val="0"/>
                    <w:pageBreakBefore w:val="0"/>
                    <w:kinsoku/>
                    <w:wordWrap/>
                    <w:topLinePunct w:val="0"/>
                    <w:bidi w:val="0"/>
                    <w:adjustRightInd w:val="0"/>
                    <w:snapToGrid w:val="0"/>
                    <w:spacing w:after="0" w:line="240" w:lineRule="auto"/>
                    <w:jc w:val="center"/>
                    <w:rPr>
                      <w:rFonts w:hint="default" w:ascii="Times New Roman" w:hAnsi="Times New Roman" w:cs="Times New Roman"/>
                      <w:iCs/>
                      <w:sz w:val="20"/>
                      <w:szCs w:val="20"/>
                    </w:rPr>
                  </w:pPr>
                  <w:r>
                    <w:rPr>
                      <w:rFonts w:hint="default" w:ascii="Times New Roman" w:hAnsi="Times New Roman" w:cs="Times New Roman"/>
                      <w:color w:val="FF0000"/>
                      <w:sz w:val="20"/>
                      <w:szCs w:val="20"/>
                      <w:lang w:eastAsia="zh-CN"/>
                    </w:rPr>
                    <w:t>===================== Unchanged parts omitted ======================</w:t>
                  </w:r>
                </w:p>
              </w:tc>
            </w:tr>
          </w:tbl>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Adopt the following changes to the previous agreement made in RAN1#114:</w:t>
            </w:r>
          </w:p>
          <w:tbl>
            <w:tblPr>
              <w:tblStyle w:val="27"/>
              <w:tblW w:w="0" w:type="auto"/>
              <w:tblInd w:w="25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324"/>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8324" w:type="dxa"/>
                  <w:shd w:val="clear" w:color="auto" w:fill="auto"/>
                </w:tcPr>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When an LMF requests the UEs, including target UE and PRU(s), to perform measurements on indicated DL PRS resource set(s) occurring within indicated time window(s)</w:t>
                  </w:r>
                </w:p>
                <w:p>
                  <w:pPr>
                    <w:pStyle w:val="96"/>
                    <w:keepNext w:val="0"/>
                    <w:keepLines w:val="0"/>
                    <w:pageBreakBefore w:val="0"/>
                    <w:numPr>
                      <w:ilvl w:val="0"/>
                      <w:numId w:val="7"/>
                    </w:numPr>
                    <w:kinsoku/>
                    <w:wordWrap/>
                    <w:topLinePunct w:val="0"/>
                    <w:bidi w:val="0"/>
                    <w:adjustRightInd w:val="0"/>
                    <w:snapToGrid w:val="0"/>
                    <w:spacing w:after="0" w:line="240" w:lineRule="auto"/>
                    <w:ind w:leftChars="0"/>
                    <w:rPr>
                      <w:rFonts w:hint="default" w:ascii="Times New Roman" w:hAnsi="Times New Roman" w:cs="Times New Roman"/>
                      <w:iCs/>
                      <w:sz w:val="20"/>
                      <w:szCs w:val="20"/>
                    </w:rPr>
                  </w:pPr>
                  <w:r>
                    <w:rPr>
                      <w:rFonts w:hint="default" w:ascii="Times New Roman" w:hAnsi="Times New Roman" w:cs="Times New Roman"/>
                      <w:iCs/>
                      <w:sz w:val="20"/>
                      <w:szCs w:val="20"/>
                    </w:rPr>
                    <w:t>The duration of a time window can be configured as follows:</w:t>
                  </w:r>
                </w:p>
                <w:p>
                  <w:pPr>
                    <w:pStyle w:val="96"/>
                    <w:keepNext w:val="0"/>
                    <w:keepLines w:val="0"/>
                    <w:pageBreakBefore w:val="0"/>
                    <w:numPr>
                      <w:ilvl w:val="1"/>
                      <w:numId w:val="8"/>
                    </w:numPr>
                    <w:kinsoku/>
                    <w:wordWrap/>
                    <w:topLinePunct w:val="0"/>
                    <w:bidi w:val="0"/>
                    <w:adjustRightInd w:val="0"/>
                    <w:snapToGrid w:val="0"/>
                    <w:spacing w:after="0" w:line="240" w:lineRule="auto"/>
                    <w:ind w:leftChars="0"/>
                    <w:contextualSpacing/>
                    <w:jc w:val="both"/>
                    <w:rPr>
                      <w:rFonts w:hint="default" w:ascii="Times New Roman" w:hAnsi="Times New Roman" w:eastAsia="宋体" w:cs="Times New Roman"/>
                      <w:bCs/>
                      <w:iCs/>
                      <w:sz w:val="20"/>
                      <w:szCs w:val="20"/>
                    </w:rPr>
                  </w:pPr>
                  <w:r>
                    <w:rPr>
                      <w:rFonts w:hint="default" w:ascii="Times New Roman" w:hAnsi="Times New Roman" w:eastAsia="等线" w:cs="Times New Roman"/>
                      <w:bCs/>
                      <w:iCs/>
                      <w:snapToGrid w:val="0"/>
                      <w:sz w:val="20"/>
                      <w:szCs w:val="20"/>
                    </w:rPr>
                    <w:t>{1, 2, 4, 6, 8, 12, 16} slots.</w:t>
                  </w:r>
                </w:p>
                <w:p>
                  <w:pPr>
                    <w:pStyle w:val="93"/>
                    <w:keepNext w:val="0"/>
                    <w:keepLines w:val="0"/>
                    <w:pageBreakBefore w:val="0"/>
                    <w:numPr>
                      <w:ilvl w:val="0"/>
                      <w:numId w:val="8"/>
                    </w:numPr>
                    <w:kinsoku/>
                    <w:wordWrap/>
                    <w:topLinePunct w:val="0"/>
                    <w:bidi w:val="0"/>
                    <w:adjustRightInd w:val="0"/>
                    <w:snapToGrid w:val="0"/>
                    <w:spacing w:before="0" w:after="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the number of the time windows can be:</w:t>
                  </w:r>
                </w:p>
                <w:p>
                  <w:pPr>
                    <w:pStyle w:val="93"/>
                    <w:keepNext w:val="0"/>
                    <w:keepLines w:val="0"/>
                    <w:pageBreakBefore w:val="0"/>
                    <w:numPr>
                      <w:ilvl w:val="1"/>
                      <w:numId w:val="8"/>
                    </w:numPr>
                    <w:kinsoku/>
                    <w:wordWrap/>
                    <w:topLinePunct w:val="0"/>
                    <w:bidi w:val="0"/>
                    <w:adjustRightInd w:val="0"/>
                    <w:snapToGrid w:val="0"/>
                    <w:spacing w:before="0" w:after="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{1, 2}</w:t>
                  </w:r>
                </w:p>
                <w:p>
                  <w:pPr>
                    <w:pStyle w:val="93"/>
                    <w:keepNext w:val="0"/>
                    <w:keepLines w:val="0"/>
                    <w:pageBreakBefore w:val="0"/>
                    <w:numPr>
                      <w:ilvl w:val="1"/>
                      <w:numId w:val="8"/>
                    </w:numPr>
                    <w:kinsoku/>
                    <w:wordWrap/>
                    <w:topLinePunct w:val="0"/>
                    <w:bidi w:val="0"/>
                    <w:adjustRightInd w:val="0"/>
                    <w:snapToGrid w:val="0"/>
                    <w:spacing w:before="0" w:after="0" w:line="240" w:lineRule="auto"/>
                    <w:rPr>
                      <w:rFonts w:hint="default" w:ascii="Times New Roman" w:hAnsi="Times New Roman" w:cs="Times New Roman"/>
                      <w:iCs/>
                      <w:sz w:val="20"/>
                      <w:szCs w:val="20"/>
                    </w:rPr>
                  </w:pPr>
                  <w:r>
                    <w:rPr>
                      <w:rFonts w:hint="default" w:ascii="Times New Roman" w:hAnsi="Times New Roman" w:cs="Times New Roman"/>
                      <w:iCs/>
                      <w:strike/>
                      <w:sz w:val="20"/>
                      <w:szCs w:val="20"/>
                    </w:rPr>
                    <w:t>FFS: {4, 8}</w:t>
                  </w:r>
                </w:p>
                <w:p>
                  <w:pPr>
                    <w:pStyle w:val="93"/>
                    <w:keepNext w:val="0"/>
                    <w:keepLines w:val="0"/>
                    <w:pageBreakBefore w:val="0"/>
                    <w:numPr>
                      <w:ilvl w:val="0"/>
                      <w:numId w:val="8"/>
                    </w:numPr>
                    <w:kinsoku/>
                    <w:wordWrap/>
                    <w:topLinePunct w:val="0"/>
                    <w:bidi w:val="0"/>
                    <w:adjustRightInd w:val="0"/>
                    <w:snapToGrid w:val="0"/>
                    <w:spacing w:before="0" w:after="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the number of the indicated DL PRS resource set(s) per TRP within a time window can be {1, 2}:</w:t>
                  </w:r>
                </w:p>
                <w:p>
                  <w:pPr>
                    <w:pStyle w:val="93"/>
                    <w:keepNext w:val="0"/>
                    <w:keepLines w:val="0"/>
                    <w:pageBreakBefore w:val="0"/>
                    <w:numPr>
                      <w:ilvl w:val="1"/>
                      <w:numId w:val="8"/>
                    </w:numPr>
                    <w:kinsoku/>
                    <w:wordWrap/>
                    <w:topLinePunct w:val="0"/>
                    <w:bidi w:val="0"/>
                    <w:adjustRightInd w:val="0"/>
                    <w:snapToGrid w:val="0"/>
                    <w:spacing w:before="0" w:after="0" w:line="240" w:lineRule="auto"/>
                    <w:rPr>
                      <w:rFonts w:hint="default" w:ascii="Times New Roman" w:hAnsi="Times New Roman" w:cs="Times New Roman"/>
                      <w:sz w:val="20"/>
                      <w:szCs w:val="20"/>
                      <w:lang w:eastAsia="zh-CN"/>
                    </w:rPr>
                  </w:pPr>
                  <w:r>
                    <w:rPr>
                      <w:rFonts w:hint="default" w:ascii="Times New Roman" w:hAnsi="Times New Roman" w:cs="Times New Roman"/>
                      <w:iCs/>
                      <w:sz w:val="20"/>
                      <w:szCs w:val="20"/>
                    </w:rPr>
                    <w:t>DL PRS resource sets across all TRPs are in one DL PFL</w:t>
                  </w:r>
                </w:p>
                <w:p>
                  <w:pPr>
                    <w:pStyle w:val="93"/>
                    <w:keepNext w:val="0"/>
                    <w:keepLines w:val="0"/>
                    <w:pageBreakBefore w:val="0"/>
                    <w:numPr>
                      <w:ilvl w:val="2"/>
                      <w:numId w:val="8"/>
                    </w:numPr>
                    <w:kinsoku/>
                    <w:wordWrap/>
                    <w:topLinePunct w:val="0"/>
                    <w:bidi w:val="0"/>
                    <w:adjustRightInd w:val="0"/>
                    <w:snapToGrid w:val="0"/>
                    <w:spacing w:before="0"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FFS: For PRS bandwidth aggregation, an </w:t>
                  </w:r>
                  <w:r>
                    <w:rPr>
                      <w:rFonts w:hint="default" w:ascii="Times New Roman" w:hAnsi="Times New Roman" w:cs="Times New Roman"/>
                      <w:iCs/>
                      <w:sz w:val="20"/>
                      <w:szCs w:val="20"/>
                    </w:rPr>
                    <w:t>indicated DL PRS resource set refers to a combination of linked PRS resource sets</w:t>
                  </w:r>
                </w:p>
                <w:p>
                  <w:pPr>
                    <w:pStyle w:val="93"/>
                    <w:keepNext w:val="0"/>
                    <w:keepLines w:val="0"/>
                    <w:pageBreakBefore w:val="0"/>
                    <w:numPr>
                      <w:ilvl w:val="1"/>
                      <w:numId w:val="8"/>
                    </w:numPr>
                    <w:kinsoku/>
                    <w:wordWrap/>
                    <w:topLinePunct w:val="0"/>
                    <w:bidi w:val="0"/>
                    <w:adjustRightInd w:val="0"/>
                    <w:snapToGrid w:val="0"/>
                    <w:spacing w:before="0"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number of the </w:t>
                  </w:r>
                  <w:r>
                    <w:rPr>
                      <w:rFonts w:hint="default" w:ascii="Times New Roman" w:hAnsi="Times New Roman" w:cs="Times New Roman"/>
                      <w:iCs/>
                      <w:sz w:val="20"/>
                      <w:szCs w:val="20"/>
                    </w:rPr>
                    <w:t>indicated DL PRS resource set(s) for all TRPs should be the same</w:t>
                  </w:r>
                </w:p>
                <w:p>
                  <w:pPr>
                    <w:pStyle w:val="93"/>
                    <w:keepNext w:val="0"/>
                    <w:keepLines w:val="0"/>
                    <w:pageBreakBefore w:val="0"/>
                    <w:numPr>
                      <w:ilvl w:val="0"/>
                      <w:numId w:val="8"/>
                    </w:numPr>
                    <w:kinsoku/>
                    <w:wordWrap/>
                    <w:topLinePunct w:val="0"/>
                    <w:bidi w:val="0"/>
                    <w:adjustRightInd w:val="0"/>
                    <w:snapToGrid w:val="0"/>
                    <w:spacing w:before="0"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Different PRS resource sets and/or PFLs can be associated with different time windows</w:t>
                  </w:r>
                </w:p>
                <w:p>
                  <w:pPr>
                    <w:pStyle w:val="93"/>
                    <w:keepNext w:val="0"/>
                    <w:keepLines w:val="0"/>
                    <w:pageBreakBefore w:val="0"/>
                    <w:numPr>
                      <w:ilvl w:val="0"/>
                      <w:numId w:val="8"/>
                    </w:numPr>
                    <w:kinsoku/>
                    <w:wordWrap/>
                    <w:topLinePunct w:val="0"/>
                    <w:bidi w:val="0"/>
                    <w:adjustRightInd w:val="0"/>
                    <w:snapToGrid w:val="0"/>
                    <w:spacing w:before="0"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the signaling design for the indication of the </w:t>
                  </w:r>
                  <w:r>
                    <w:rPr>
                      <w:rFonts w:hint="default" w:ascii="Times New Roman" w:hAnsi="Times New Roman" w:cs="Times New Roman"/>
                      <w:iCs/>
                      <w:sz w:val="20"/>
                      <w:szCs w:val="20"/>
                    </w:rPr>
                    <w:t xml:space="preserve">DL PRS resource sets in the time windows </w:t>
                  </w:r>
                  <w:r>
                    <w:rPr>
                      <w:rFonts w:hint="default" w:ascii="Times New Roman" w:hAnsi="Times New Roman" w:cs="Times New Roman"/>
                      <w:sz w:val="20"/>
                      <w:szCs w:val="20"/>
                      <w:lang w:eastAsia="zh-CN"/>
                    </w:rPr>
                    <w:t>is up to RAN2/RAN3</w:t>
                  </w:r>
                  <w:r>
                    <w:rPr>
                      <w:rFonts w:hint="default" w:ascii="Times New Roman" w:hAnsi="Times New Roman" w:cs="Times New Roman"/>
                      <w:iCs/>
                      <w:sz w:val="20"/>
                      <w:szCs w:val="20"/>
                    </w:rPr>
                    <w:t>.</w:t>
                  </w:r>
                </w:p>
              </w:tc>
            </w:tr>
          </w:tbl>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Only the carrier phase measurements (i.e., DL/UL RSCP, DL RSCPD) of the first path are supported in Rel-18.</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numPr>
                <w:ilvl w:val="0"/>
                <w:numId w:val="9"/>
              </w:numPr>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pPr>
              <w:keepNext w:val="0"/>
              <w:keepLines w:val="0"/>
              <w:pageBreakBefore w:val="0"/>
              <w:numPr>
                <w:ilvl w:val="1"/>
                <w:numId w:val="9"/>
              </w:numPr>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a DL RSCP measurement is obtained by measuring a single DL PRS resource from a TRP.</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Adopt the following changes to the previous agreement made in RAN1#114bis: </w:t>
            </w:r>
          </w:p>
          <w:tbl>
            <w:tblPr>
              <w:tblStyle w:val="27"/>
              <w:tblW w:w="0" w:type="auto"/>
              <w:tblInd w:w="392"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182"/>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8182" w:type="dxa"/>
                  <w:shd w:val="clear" w:color="auto" w:fill="auto"/>
                </w:tcPr>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pPr>
                    <w:keepNext w:val="0"/>
                    <w:keepLines w:val="0"/>
                    <w:pageBreakBefore w:val="0"/>
                    <w:numPr>
                      <w:ilvl w:val="0"/>
                      <w:numId w:val="9"/>
                    </w:numPr>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1: a DL RSCP measurement is obtained by measuring a single DL PRS resource from a TRP.</w:t>
                  </w:r>
                </w:p>
                <w:p>
                  <w:pPr>
                    <w:keepNext w:val="0"/>
                    <w:keepLines w:val="0"/>
                    <w:pageBreakBefore w:val="0"/>
                    <w:numPr>
                      <w:ilvl w:val="0"/>
                      <w:numId w:val="9"/>
                    </w:numPr>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 It has no RAN1 impact. It is up to RAN2 on how the DL PRS resource IDs of DL RSCP measurements are identified/reported.</w:t>
                  </w:r>
                </w:p>
              </w:tc>
            </w:tr>
          </w:tbl>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pPr>
              <w:keepNext w:val="0"/>
              <w:keepLines w:val="0"/>
              <w:pageBreakBefore w:val="0"/>
              <w:numPr>
                <w:ilvl w:val="0"/>
                <w:numId w:val="9"/>
              </w:numPr>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1: It has no RAN1 impact. It is up to RAN2 on how the DL PRS resource IDs of DL RSCPD measurements are identified/reported.</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ascii="Times New Roman" w:hAnsi="Times New Roman"/>
                <w:b/>
                <w:sz w:val="20"/>
                <w:szCs w:val="20"/>
                <w:highlight w:val="none"/>
                <w:u w:val="single"/>
              </w:rPr>
              <w:t>Agreement</w:t>
            </w:r>
          </w:p>
          <w:p>
            <w:pPr>
              <w:pStyle w:val="116"/>
              <w:keepNext w:val="0"/>
              <w:keepLines w:val="0"/>
              <w:pageBreakBefore w:val="0"/>
              <w:kinsoku/>
              <w:wordWrap/>
              <w:topLinePunct w:val="0"/>
              <w:bidi w:val="0"/>
              <w:adjustRightInd w:val="0"/>
              <w:snapToGrid w:val="0"/>
              <w:spacing w:before="0" w:after="0" w:line="240" w:lineRule="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 xml:space="preserve">From RAN1’s perspective, the granularity with </w:t>
            </w:r>
            <w:r>
              <w:rPr>
                <w:rFonts w:hint="default" w:ascii="Times New Roman" w:hAnsi="Times New Roman" w:cs="Times New Roman"/>
                <w:i/>
                <w:iCs/>
                <w:sz w:val="20"/>
                <w:szCs w:val="20"/>
                <w:lang w:val="en-GB"/>
              </w:rPr>
              <w:t>ReportingGranularityfactor</w:t>
            </w:r>
            <w:r>
              <w:rPr>
                <w:rFonts w:hint="default" w:ascii="Times New Roman" w:hAnsi="Times New Roman" w:cs="Times New Roman"/>
                <w:sz w:val="20"/>
                <w:szCs w:val="20"/>
                <w:lang w:val="en-GB"/>
              </w:rPr>
              <w:t xml:space="preserve"> </w:t>
            </w:r>
            <w:r>
              <w:rPr>
                <w:rFonts w:hint="default" w:ascii="Times New Roman" w:hAnsi="Times New Roman" w:cs="Times New Roman"/>
                <w:i/>
                <w:iCs/>
                <w:sz w:val="20"/>
                <w:szCs w:val="20"/>
                <w:lang w:val="en-GB"/>
              </w:rPr>
              <w:t>k={-1, -2}</w:t>
            </w:r>
            <w:r>
              <w:rPr>
                <w:rFonts w:hint="default" w:ascii="Times New Roman" w:hAnsi="Times New Roman" w:cs="Times New Roman"/>
                <w:sz w:val="20"/>
                <w:szCs w:val="20"/>
                <w:lang w:val="en-GB"/>
              </w:rPr>
              <w:t xml:space="preserve"> for the reporting of DL/UL timing measurements is applicable to all positioning methods.</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Conclusion</w:t>
            </w:r>
          </w:p>
          <w:p>
            <w:pPr>
              <w:pStyle w:val="96"/>
              <w:keepNext w:val="0"/>
              <w:keepLines w:val="0"/>
              <w:pageBreakBefore w:val="0"/>
              <w:kinsoku/>
              <w:wordWrap/>
              <w:topLinePunct w:val="0"/>
              <w:bidi w:val="0"/>
              <w:adjustRightInd w:val="0"/>
              <w:snapToGrid w:val="0"/>
              <w:spacing w:after="0" w:line="240" w:lineRule="auto"/>
              <w:ind w:left="0" w:leftChars="0"/>
              <w:contextualSpacing/>
              <w:jc w:val="both"/>
              <w:rPr>
                <w:rFonts w:hint="default" w:ascii="Times New Roman" w:hAnsi="Times New Roman" w:eastAsia="等线" w:cs="Times New Roman"/>
                <w:bCs/>
                <w:i/>
                <w:sz w:val="20"/>
                <w:szCs w:val="20"/>
              </w:rPr>
            </w:pPr>
            <w:r>
              <w:rPr>
                <w:rFonts w:hint="default" w:ascii="Times New Roman" w:hAnsi="Times New Roman" w:cs="Times New Roman"/>
                <w:iCs/>
                <w:sz w:val="20"/>
                <w:szCs w:val="20"/>
              </w:rPr>
              <w:t>No further discussion in RAN1 on how to address the impact of the phase delays on Tx/Rx RF chains in Rel-18.</w:t>
            </w:r>
          </w:p>
          <w:p>
            <w:pPr>
              <w:pStyle w:val="96"/>
              <w:keepNext w:val="0"/>
              <w:keepLines w:val="0"/>
              <w:pageBreakBefore w:val="0"/>
              <w:numPr>
                <w:ilvl w:val="0"/>
                <w:numId w:val="10"/>
              </w:numPr>
              <w:kinsoku/>
              <w:wordWrap/>
              <w:topLinePunct w:val="0"/>
              <w:bidi w:val="0"/>
              <w:adjustRightInd w:val="0"/>
              <w:snapToGrid w:val="0"/>
              <w:spacing w:after="0" w:line="240" w:lineRule="auto"/>
              <w:ind w:leftChars="0"/>
              <w:contextualSpacing/>
              <w:jc w:val="both"/>
              <w:rPr>
                <w:rFonts w:hint="default" w:ascii="Times New Roman" w:hAnsi="Times New Roman" w:cs="Times New Roman"/>
                <w:iCs/>
                <w:sz w:val="20"/>
                <w:szCs w:val="20"/>
              </w:rPr>
            </w:pPr>
            <w:r>
              <w:rPr>
                <w:rFonts w:hint="default" w:ascii="Times New Roman" w:hAnsi="Times New Roman" w:cs="Times New Roman"/>
                <w:iCs/>
                <w:sz w:val="20"/>
                <w:szCs w:val="20"/>
              </w:rPr>
              <w:t>Note: The conclusion does not preclude further discussion of the phase delays in UE feature for NR CPP.</w:t>
            </w:r>
          </w:p>
        </w:tc>
      </w:tr>
    </w:tbl>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 xml:space="preserve">After </w:t>
      </w:r>
      <w:r>
        <w:rPr>
          <w:rFonts w:ascii="Times New Roman" w:hAnsi="Times New Roman"/>
          <w:iCs/>
          <w:sz w:val="20"/>
          <w:szCs w:val="20"/>
        </w:rPr>
        <w:t>RAN1#11</w:t>
      </w:r>
      <w:r>
        <w:rPr>
          <w:rFonts w:hint="eastAsia" w:ascii="Times New Roman" w:hAnsi="Times New Roman"/>
          <w:iCs/>
          <w:sz w:val="20"/>
          <w:szCs w:val="20"/>
          <w:lang w:val="en-US" w:eastAsia="zh-CN"/>
        </w:rPr>
        <w:t>4bis</w:t>
      </w:r>
      <w:r>
        <w:rPr>
          <w:rFonts w:ascii="Times New Roman" w:hAnsi="Times New Roman"/>
          <w:iCs/>
          <w:sz w:val="20"/>
          <w:szCs w:val="20"/>
        </w:rPr>
        <w:t xml:space="preserve"> meeting, </w:t>
      </w:r>
      <w:r>
        <w:rPr>
          <w:rFonts w:hint="eastAsia" w:ascii="Times New Roman" w:hAnsi="Times New Roman"/>
          <w:iCs/>
          <w:sz w:val="20"/>
          <w:szCs w:val="20"/>
          <w:lang w:val="en-US" w:eastAsia="zh-CN"/>
        </w:rPr>
        <w:t>the basic enhancement of NR Rel-18 positioning has been finished from RAN1 perspective including the feature of NR DL and UL carrier phase positioning, and the initial versions of RAN1 specifications including TS 38.211, 38.212, 38.213, 38.214 and 38.215 have been endorsed.</w:t>
      </w:r>
    </w:p>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In this contribution, we provide our views for the endorsed RAN1 specifications and other remaining issues on carrier phase positioning.</w:t>
      </w:r>
    </w:p>
    <w:p>
      <w:pPr>
        <w:pStyle w:val="2"/>
        <w:snapToGrid w:val="0"/>
        <w:spacing w:before="120" w:after="180" w:afterLines="50"/>
        <w:ind w:left="431" w:hanging="431"/>
        <w:jc w:val="both"/>
        <w:rPr>
          <w:highlight w:val="none"/>
          <w:lang w:val="en-US"/>
        </w:rPr>
      </w:pPr>
      <w:r>
        <w:rPr>
          <w:rFonts w:hint="eastAsia" w:ascii="Times New Roman" w:hAnsi="Times New Roman"/>
          <w:sz w:val="28"/>
          <w:highlight w:val="none"/>
          <w:lang w:val="en-US" w:eastAsia="zh-CN"/>
        </w:rPr>
        <w:t xml:space="preserve">Discussion on the endorsed RAN1 specification </w:t>
      </w:r>
    </w:p>
    <w:p>
      <w:pPr>
        <w:pStyle w:val="3"/>
        <w:snapToGrid w:val="0"/>
        <w:spacing w:line="240" w:lineRule="auto"/>
        <w:jc w:val="both"/>
        <w:rPr>
          <w:rFonts w:hint="eastAsia"/>
          <w:sz w:val="24"/>
          <w:szCs w:val="24"/>
          <w:highlight w:val="none"/>
          <w:lang w:val="en-US" w:eastAsia="zh-CN"/>
        </w:rPr>
      </w:pPr>
      <w:r>
        <w:rPr>
          <w:rFonts w:hint="eastAsia"/>
          <w:sz w:val="24"/>
          <w:szCs w:val="24"/>
          <w:highlight w:val="none"/>
          <w:lang w:val="en-US" w:eastAsia="zh-CN"/>
        </w:rPr>
        <w:t>Description on PRS reception procedure in TS 38.214 [2]</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b w:val="0"/>
          <w:bCs w:val="0"/>
          <w:iCs/>
          <w:sz w:val="20"/>
          <w:szCs w:val="20"/>
          <w:lang w:val="en-US" w:eastAsia="zh-CN"/>
        </w:rPr>
      </w:pPr>
      <w:r>
        <w:rPr>
          <w:rFonts w:hint="eastAsia" w:ascii="Times New Roman" w:hAnsi="Times New Roman"/>
          <w:b/>
          <w:bCs/>
          <w:iCs/>
          <w:sz w:val="20"/>
          <w:szCs w:val="20"/>
          <w:lang w:val="en-US" w:eastAsia="zh-CN"/>
        </w:rPr>
        <w:t>Text proposal:</w:t>
      </w:r>
      <w:r>
        <w:rPr>
          <w:rFonts w:hint="eastAsia" w:ascii="Times New Roman" w:hAnsi="Times New Roman"/>
          <w:b w:val="0"/>
          <w:bCs w:val="0"/>
          <w:iCs/>
          <w:sz w:val="20"/>
          <w:szCs w:val="20"/>
          <w:lang w:val="en-US" w:eastAsia="zh-CN"/>
        </w:rPr>
        <w:t xml:space="preserve"> PRS reception procedure in TS 38.214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i w:val="0"/>
          <w:iCs w:val="0"/>
          <w:sz w:val="20"/>
          <w:szCs w:val="20"/>
          <w:lang w:val="en-US" w:eastAsia="zh-CN"/>
        </w:rPr>
      </w:pPr>
      <w:r>
        <w:rPr>
          <w:rFonts w:hint="eastAsia" w:ascii="Times New Roman" w:hAnsi="Times New Roman"/>
          <w:b/>
          <w:bCs/>
          <w:iCs/>
          <w:sz w:val="20"/>
          <w:szCs w:val="20"/>
          <w:lang w:val="en-US" w:eastAsia="zh-CN"/>
        </w:rPr>
        <w:t>Reason for change</w:t>
      </w:r>
      <w:r>
        <w:rPr>
          <w:rFonts w:hint="eastAsia" w:ascii="Times New Roman" w:hAnsi="Times New Roman"/>
          <w:iCs/>
          <w:sz w:val="20"/>
          <w:szCs w:val="20"/>
          <w:lang w:val="en-US" w:eastAsia="zh-CN"/>
        </w:rPr>
        <w:t>: The current description PRS reception procedure should be updated for better readability</w:t>
      </w:r>
      <w:r>
        <w:rPr>
          <w:rFonts w:hint="default" w:ascii="Times New Roman" w:hAnsi="Times New Roman" w:cs="Times New Roman"/>
          <w:sz w:val="20"/>
          <w:szCs w:val="20"/>
        </w:rPr>
        <w:t>.</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highlight w:val="none"/>
          <w:lang w:val="en-US" w:eastAsia="zh-CN"/>
        </w:rPr>
      </w:pPr>
      <w:r>
        <w:rPr>
          <w:rFonts w:hint="eastAsia" w:ascii="Times New Roman" w:hAnsi="Times New Roman"/>
          <w:b/>
          <w:bCs/>
          <w:iCs/>
          <w:sz w:val="20"/>
          <w:szCs w:val="20"/>
          <w:highlight w:val="none"/>
          <w:lang w:val="en-US" w:eastAsia="zh-CN"/>
        </w:rPr>
        <w:t>Summary of change</w:t>
      </w:r>
      <w:r>
        <w:rPr>
          <w:rFonts w:hint="eastAsia" w:ascii="Times New Roman" w:hAnsi="Times New Roman"/>
          <w:iCs/>
          <w:sz w:val="20"/>
          <w:szCs w:val="20"/>
          <w:highlight w:val="none"/>
          <w:lang w:val="en-US" w:eastAsia="zh-CN"/>
        </w:rPr>
        <w:t>: Change the description of indicated DL PRS resource set numbers in the configured time window(s).</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lang w:val="en-US" w:eastAsia="zh-CN"/>
        </w:rPr>
      </w:pPr>
      <w:r>
        <w:rPr>
          <w:rFonts w:hint="eastAsia" w:ascii="Times New Roman" w:hAnsi="Times New Roman"/>
          <w:b/>
          <w:bCs/>
          <w:iCs/>
          <w:sz w:val="20"/>
          <w:szCs w:val="20"/>
          <w:lang w:val="en-US" w:eastAsia="zh-CN"/>
        </w:rPr>
        <w:t>Consequences if not approved</w:t>
      </w:r>
      <w:r>
        <w:rPr>
          <w:rFonts w:hint="eastAsia" w:ascii="Times New Roman" w:hAnsi="Times New Roman"/>
          <w:iCs/>
          <w:sz w:val="20"/>
          <w:szCs w:val="20"/>
          <w:lang w:val="en-US" w:eastAsia="zh-CN"/>
        </w:rPr>
        <w:t>: The sentence that describes the number of indicated DL PRS resource sets is not correct in the current specification.</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lang w:val="en-US" w:eastAsia="zh-CN"/>
        </w:rPr>
      </w:pPr>
      <w:r>
        <w:rPr>
          <w:rFonts w:hint="eastAsia" w:ascii="Times New Roman" w:hAnsi="Times New Roman"/>
          <w:b/>
          <w:bCs/>
          <w:iCs/>
          <w:sz w:val="20"/>
          <w:szCs w:val="20"/>
          <w:lang w:val="en-US" w:eastAsia="zh-CN"/>
        </w:rPr>
        <w:t>Clauses affected</w:t>
      </w:r>
      <w:r>
        <w:rPr>
          <w:rFonts w:hint="eastAsia" w:ascii="Times New Roman" w:hAnsi="Times New Roman"/>
          <w:iCs/>
          <w:sz w:val="20"/>
          <w:szCs w:val="20"/>
          <w:lang w:val="en-US" w:eastAsia="zh-CN"/>
        </w:rPr>
        <w:t>: 5.1.6.5</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&lt;Unrelated part omitted&gt;</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m:rPr/>
          <w:rPr>
            <w:rFonts w:hint="default" w:ascii="Cambria Math" w:hAnsi="Cambria Math" w:cs="Times New Roman"/>
            <w:sz w:val="20"/>
            <w:szCs w:val="20"/>
            <w:lang w:val="en-US"/>
          </w:rPr>
          <m:t>n</m:t>
        </m:r>
        <m:r>
          <m:rPr>
            <m:sty m:val="p"/>
          </m:rPr>
          <w:rPr>
            <w:rFonts w:hint="default" w:ascii="Cambria Math" w:hAnsi="Cambria Math" w:cs="Times New Roman"/>
            <w:sz w:val="20"/>
            <w:szCs w:val="20"/>
            <w:lang w:val="en-US"/>
          </w:rPr>
          <m:t>+</m:t>
        </m:r>
        <m:sSubSup>
          <m:sSubSupPr>
            <m:ctrlPr>
              <w:rPr>
                <w:rFonts w:hint="default" w:ascii="Cambria Math" w:hAnsi="Cambria Math" w:cs="Times New Roman"/>
                <w:sz w:val="20"/>
                <w:szCs w:val="20"/>
                <w:lang w:val="en-US"/>
              </w:rPr>
            </m:ctrlPr>
          </m:sSubSupPr>
          <m:e>
            <m:r>
              <m:rPr/>
              <w:rPr>
                <w:rFonts w:hint="default" w:ascii="Cambria Math" w:hAnsi="Cambria Math" w:cs="Times New Roman"/>
                <w:sz w:val="20"/>
                <w:szCs w:val="20"/>
                <w:lang w:val="en-US"/>
              </w:rPr>
              <m:t>3N</m:t>
            </m:r>
            <m:ctrlPr>
              <w:rPr>
                <w:rFonts w:hint="default" w:ascii="Cambria Math" w:hAnsi="Cambria Math" w:cs="Times New Roman"/>
                <w:sz w:val="20"/>
                <w:szCs w:val="20"/>
                <w:lang w:val="en-US"/>
              </w:rPr>
            </m:ctrlPr>
          </m:e>
          <m:sub>
            <m:r>
              <m:rPr/>
              <w:rPr>
                <w:rFonts w:hint="default" w:ascii="Cambria Math" w:hAnsi="Cambria Math" w:cs="Times New Roman"/>
                <w:sz w:val="20"/>
                <w:szCs w:val="20"/>
                <w:lang w:val="en-US"/>
              </w:rPr>
              <m:t>slot</m:t>
            </m:r>
            <m:ctrlPr>
              <w:rPr>
                <w:rFonts w:hint="default" w:ascii="Cambria Math" w:hAnsi="Cambria Math" w:cs="Times New Roman"/>
                <w:sz w:val="20"/>
                <w:szCs w:val="20"/>
                <w:lang w:val="en-US"/>
              </w:rPr>
            </m:ctrlPr>
          </m:sub>
          <m:sup>
            <m:r>
              <m:rPr/>
              <w:rPr>
                <w:rFonts w:hint="default" w:ascii="Cambria Math" w:hAnsi="Cambria Math" w:cs="Times New Roman"/>
                <w:sz w:val="20"/>
                <w:szCs w:val="20"/>
                <w:lang w:val="en-US"/>
              </w:rPr>
              <m:t>subframe,µ</m:t>
            </m:r>
            <m:ctrlPr>
              <w:rPr>
                <w:rFonts w:hint="default" w:ascii="Cambria Math" w:hAnsi="Cambria Math" w:cs="Times New Roman"/>
                <w:sz w:val="20"/>
                <w:szCs w:val="20"/>
                <w:lang w:val="en-US"/>
              </w:rPr>
            </m:ctrlPr>
          </m:sup>
        </m:sSubSup>
      </m:oMath>
      <w:r>
        <w:rPr>
          <w:rFonts w:hint="default" w:ascii="Times New Roman" w:hAnsi="Times New Roman" w:cs="Times New Roman"/>
          <w:sz w:val="20"/>
          <w:szCs w:val="20"/>
          <w:lang w:val="en-US"/>
        </w:rPr>
        <w:t xml:space="preserve"> where </w:t>
      </w:r>
      <w:r>
        <w:rPr>
          <w:rFonts w:ascii="Symbol" w:hAnsi="Symbol"/>
          <w:i/>
        </w:rPr>
        <w:t></w:t>
      </w:r>
      <w:r>
        <w:rPr>
          <w:rFonts w:hint="default" w:ascii="Times New Roman" w:hAnsi="Times New Roman" w:cs="Times New Roman"/>
          <w:sz w:val="20"/>
          <w:szCs w:val="20"/>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eastAsia" w:ascii="Times New Roman" w:hAnsi="Times New Roman" w:cs="Times New Roman" w:eastAsiaTheme="minorEastAsia"/>
          <w:sz w:val="20"/>
          <w:szCs w:val="20"/>
          <w:lang w:val="en-US" w:eastAsia="zh-CN"/>
        </w:rPr>
      </w:pPr>
      <w:r>
        <w:rPr>
          <w:rFonts w:hint="default" w:ascii="Times New Roman" w:hAnsi="Times New Roman" w:cs="Times New Roman"/>
          <w:sz w:val="20"/>
          <w:szCs w:val="20"/>
        </w:rPr>
        <w:t>The UE, subject to UE capability, may be requested via [higher layer parameter] to perform positioning measurements on indicated DL PRS resource sets occurring within one or more time window(s) indicated by [</w:t>
      </w:r>
      <w:r>
        <w:rPr>
          <w:rFonts w:hint="default" w:ascii="Times New Roman" w:hAnsi="Times New Roman" w:cs="Times New Roman"/>
          <w:i/>
          <w:iCs/>
          <w:sz w:val="20"/>
          <w:szCs w:val="20"/>
        </w:rPr>
        <w:t>higher layer parameter</w:t>
      </w:r>
      <w:r>
        <w:rPr>
          <w:rFonts w:hint="default" w:ascii="Times New Roman" w:hAnsi="Times New Roman" w:cs="Times New Roman"/>
          <w:sz w:val="20"/>
          <w:szCs w:val="20"/>
        </w:rPr>
        <w:t xml:space="preserve">]. Within the window indicated by [higher layer parameter], the UE expects the indicated DL PRS resource sets are from one DL PRS positioning frequency layer, and the </w:t>
      </w:r>
      <w:del w:id="0" w:author="00335016" w:date="2023-10-25T10:44:05Z">
        <w:r>
          <w:rPr>
            <w:rFonts w:hint="default" w:ascii="Times New Roman" w:hAnsi="Times New Roman" w:cs="Times New Roman"/>
            <w:sz w:val="20"/>
            <w:szCs w:val="20"/>
          </w:rPr>
          <w:delText xml:space="preserve">same </w:delText>
        </w:r>
      </w:del>
      <w:r>
        <w:rPr>
          <w:rFonts w:hint="default" w:ascii="Times New Roman" w:hAnsi="Times New Roman" w:cs="Times New Roman"/>
          <w:sz w:val="20"/>
          <w:szCs w:val="20"/>
        </w:rPr>
        <w:t xml:space="preserve">number of indicated DL PRS resource sets associated with each </w:t>
      </w:r>
      <w:r>
        <w:rPr>
          <w:rFonts w:hint="default" w:ascii="Times New Roman" w:hAnsi="Times New Roman" w:cs="Times New Roman"/>
          <w:i/>
          <w:iCs/>
          <w:sz w:val="20"/>
          <w:szCs w:val="20"/>
        </w:rPr>
        <w:t>dl-PRS-ID</w:t>
      </w:r>
      <w:ins w:id="1" w:author="00335016" w:date="2023-10-25T10:44:25Z">
        <w:r>
          <w:rPr>
            <w:rFonts w:hint="eastAsia" w:ascii="Times New Roman" w:hAnsi="Times New Roman" w:cs="Times New Roman"/>
            <w:i w:val="0"/>
            <w:iCs w:val="0"/>
            <w:sz w:val="20"/>
            <w:szCs w:val="20"/>
            <w:lang w:val="en-US" w:eastAsia="zh-CN"/>
          </w:rPr>
          <w:t xml:space="preserve"> a</w:t>
        </w:r>
      </w:ins>
      <w:ins w:id="2" w:author="00335016" w:date="2023-10-25T10:44:26Z">
        <w:r>
          <w:rPr>
            <w:rFonts w:hint="eastAsia" w:ascii="Times New Roman" w:hAnsi="Times New Roman" w:cs="Times New Roman"/>
            <w:i w:val="0"/>
            <w:iCs w:val="0"/>
            <w:sz w:val="20"/>
            <w:szCs w:val="20"/>
            <w:lang w:val="en-US" w:eastAsia="zh-CN"/>
          </w:rPr>
          <w:t xml:space="preserve">re the </w:t>
        </w:r>
      </w:ins>
      <w:ins w:id="3" w:author="00335016" w:date="2023-10-25T10:44:27Z">
        <w:r>
          <w:rPr>
            <w:rFonts w:hint="eastAsia" w:ascii="Times New Roman" w:hAnsi="Times New Roman" w:cs="Times New Roman"/>
            <w:i w:val="0"/>
            <w:iCs w:val="0"/>
            <w:sz w:val="20"/>
            <w:szCs w:val="20"/>
            <w:lang w:val="en-US" w:eastAsia="zh-CN"/>
          </w:rPr>
          <w:t>same</w:t>
        </w:r>
      </w:ins>
      <w:r>
        <w:rPr>
          <w:rFonts w:hint="default" w:ascii="Times New Roman" w:hAnsi="Times New Roman" w:cs="Times New Roman"/>
          <w:sz w:val="20"/>
          <w:szCs w:val="20"/>
        </w:rPr>
        <w:t>.</w:t>
      </w:r>
      <w:ins w:id="4" w:author="00335016" w:date="2023-10-25T10:44:10Z">
        <w:r>
          <w:rPr>
            <w:rFonts w:hint="eastAsia" w:ascii="Times New Roman" w:hAnsi="Times New Roman" w:cs="Times New Roman"/>
            <w:sz w:val="20"/>
            <w:szCs w:val="20"/>
            <w:lang w:val="en-US" w:eastAsia="zh-CN"/>
          </w:rPr>
          <w:t xml:space="preserve"> </w:t>
        </w:r>
      </w:ins>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&lt;Unrelated part omitted&gt;</w:t>
      </w:r>
    </w:p>
    <w:p>
      <w:pPr>
        <w:pStyle w:val="3"/>
        <w:snapToGrid w:val="0"/>
        <w:spacing w:line="240" w:lineRule="auto"/>
        <w:jc w:val="both"/>
        <w:rPr>
          <w:rFonts w:hint="eastAsia"/>
          <w:sz w:val="24"/>
          <w:szCs w:val="24"/>
          <w:highlight w:val="none"/>
          <w:lang w:val="en-US" w:eastAsia="zh-CN"/>
        </w:rPr>
      </w:pPr>
      <w:r>
        <w:rPr>
          <w:rFonts w:hint="eastAsia"/>
          <w:sz w:val="24"/>
          <w:szCs w:val="24"/>
          <w:highlight w:val="none"/>
          <w:lang w:val="en-US" w:eastAsia="zh-CN"/>
        </w:rPr>
        <w:t>PRS reception procedure for carrier phase in TS 38.214 [2]</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b w:val="0"/>
          <w:bCs w:val="0"/>
          <w:iCs/>
          <w:sz w:val="20"/>
          <w:szCs w:val="20"/>
          <w:lang w:val="en-US" w:eastAsia="zh-CN"/>
        </w:rPr>
      </w:pPr>
      <w:r>
        <w:rPr>
          <w:rFonts w:hint="eastAsia" w:ascii="Times New Roman" w:hAnsi="Times New Roman"/>
          <w:b/>
          <w:bCs/>
          <w:iCs/>
          <w:sz w:val="20"/>
          <w:szCs w:val="20"/>
          <w:lang w:val="en-US" w:eastAsia="zh-CN"/>
        </w:rPr>
        <w:t>Text proposal:</w:t>
      </w:r>
      <w:r>
        <w:rPr>
          <w:rFonts w:hint="eastAsia" w:ascii="Times New Roman" w:hAnsi="Times New Roman"/>
          <w:b w:val="0"/>
          <w:bCs w:val="0"/>
          <w:iCs/>
          <w:sz w:val="20"/>
          <w:szCs w:val="20"/>
          <w:lang w:val="en-US" w:eastAsia="zh-CN"/>
        </w:rPr>
        <w:t xml:space="preserve"> PRS for carrier phase positioning in TS 38.214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iCs/>
          <w:sz w:val="20"/>
          <w:szCs w:val="20"/>
          <w:lang w:val="en-US" w:eastAsia="zh-CN"/>
        </w:rPr>
      </w:pPr>
      <w:r>
        <w:rPr>
          <w:rFonts w:hint="eastAsia" w:ascii="Times New Roman" w:hAnsi="Times New Roman"/>
          <w:b/>
          <w:bCs/>
          <w:iCs/>
          <w:sz w:val="20"/>
          <w:szCs w:val="20"/>
          <w:lang w:val="en-US" w:eastAsia="zh-CN"/>
        </w:rPr>
        <w:t>Reason for change</w:t>
      </w:r>
      <w:r>
        <w:rPr>
          <w:rFonts w:hint="eastAsia" w:ascii="Times New Roman" w:hAnsi="Times New Roman"/>
          <w:iCs/>
          <w:sz w:val="20"/>
          <w:szCs w:val="20"/>
          <w:lang w:val="en-US" w:eastAsia="zh-CN"/>
        </w:rPr>
        <w:t>: In the last RAN1 meeting, it was agre</w:t>
      </w:r>
      <w:r>
        <w:rPr>
          <w:rFonts w:hint="default" w:ascii="Times New Roman" w:hAnsi="Times New Roman" w:cs="Times New Roman"/>
          <w:iCs/>
          <w:sz w:val="20"/>
          <w:szCs w:val="20"/>
          <w:lang w:val="en-US" w:eastAsia="zh-CN"/>
        </w:rPr>
        <w:t xml:space="preserve">ed that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iCs/>
          <w:sz w:val="20"/>
          <w:szCs w:val="20"/>
          <w:lang w:val="en-US" w:eastAsia="zh-CN"/>
        </w:rPr>
      </w:pPr>
    </w:p>
    <w:tbl>
      <w:tblPr>
        <w:tblStyle w:val="27"/>
        <w:tblW w:w="0" w:type="auto"/>
        <w:tblInd w:w="392"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85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65" w:type="dxa"/>
            <w:shd w:val="clear" w:color="auto" w:fill="auto"/>
          </w:tcPr>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Subject to UE’s capability, if a UE Rx-Tx time difference/DL RSTD measurement is obtained with N</w:t>
            </w:r>
            <w:r>
              <w:rPr>
                <w:rFonts w:hint="default" w:ascii="Times New Roman" w:hAnsi="Times New Roman" w:cs="Times New Roman"/>
                <w:sz w:val="20"/>
                <w:szCs w:val="20"/>
                <w:vertAlign w:val="subscript"/>
                <w:lang w:val="en-US" w:eastAsia="zh-CN"/>
              </w:rPr>
              <w:t>sample</w:t>
            </w:r>
            <w:r>
              <w:rPr>
                <w:rFonts w:hint="default" w:ascii="Times New Roman" w:hAnsi="Times New Roman" w:cs="Times New Roman"/>
                <w:sz w:val="20"/>
                <w:szCs w:val="20"/>
                <w:lang w:val="en-US" w:eastAsia="zh-CN"/>
              </w:rPr>
              <w:t xml:space="preserve"> (=2, 4) samples, as defined in TS 38.133, the UE Rx-Tx time difference/DL RSTD measurement can be associated with (i.e., reported together with) </w:t>
            </w:r>
            <w:r>
              <w:rPr>
                <w:rFonts w:hint="default" w:ascii="Times New Roman" w:hAnsi="Times New Roman" w:cs="Times New Roman"/>
                <w:sz w:val="20"/>
                <w:szCs w:val="20"/>
                <w:highlight w:val="yellow"/>
                <w:lang w:val="en-US" w:eastAsia="zh-CN"/>
              </w:rPr>
              <w:t>up to N</w:t>
            </w:r>
            <w:r>
              <w:rPr>
                <w:rFonts w:hint="default" w:ascii="Times New Roman" w:hAnsi="Times New Roman" w:cs="Times New Roman"/>
                <w:sz w:val="20"/>
                <w:szCs w:val="20"/>
                <w:highlight w:val="yellow"/>
                <w:vertAlign w:val="subscript"/>
                <w:lang w:val="en-US" w:eastAsia="zh-CN"/>
              </w:rPr>
              <w:t>sample</w:t>
            </w:r>
            <w:r>
              <w:rPr>
                <w:rFonts w:hint="default" w:ascii="Times New Roman" w:hAnsi="Times New Roman" w:cs="Times New Roman"/>
                <w:sz w:val="20"/>
                <w:szCs w:val="20"/>
                <w:highlight w:val="yellow"/>
                <w:lang w:val="en-US" w:eastAsia="zh-CN"/>
              </w:rPr>
              <w:t xml:space="preserve"> RSCP/RSCPD measurements</w:t>
            </w:r>
            <w:r>
              <w:rPr>
                <w:rFonts w:hint="default" w:ascii="Times New Roman" w:hAnsi="Times New Roman" w:cs="Times New Roman"/>
                <w:sz w:val="20"/>
                <w:szCs w:val="20"/>
                <w:lang w:val="en-US" w:eastAsia="zh-CN"/>
              </w:rPr>
              <w:t>.</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A single RSCP/RSCPD measurement is obtained within one sample</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Each RSCP/RSCPD measurement has its own timestamp. </w:t>
            </w:r>
          </w:p>
          <w:p>
            <w:pPr>
              <w:pStyle w:val="96"/>
              <w:keepNext w:val="0"/>
              <w:keepLines w:val="0"/>
              <w:pageBreakBefore w:val="0"/>
              <w:numPr>
                <w:ilvl w:val="0"/>
                <w:numId w:val="3"/>
              </w:numPr>
              <w:kinsoku/>
              <w:wordWrap/>
              <w:topLinePunct w:val="0"/>
              <w:bidi w:val="0"/>
              <w:adjustRightInd w:val="0"/>
              <w:snapToGrid w:val="0"/>
              <w:spacing w:after="0" w:line="240" w:lineRule="auto"/>
              <w:ind w:leftChars="0"/>
              <w:rPr>
                <w:rFonts w:hint="default" w:ascii="Times New Roman" w:hAnsi="Times New Roman" w:cs="Times New Roman"/>
                <w:sz w:val="20"/>
                <w:szCs w:val="20"/>
                <w:lang w:eastAsia="zh-CN"/>
              </w:rPr>
            </w:pPr>
            <w:r>
              <w:rPr>
                <w:rFonts w:hint="default" w:ascii="Times New Roman" w:hAnsi="Times New Roman" w:cs="Times New Roman"/>
                <w:sz w:val="20"/>
                <w:szCs w:val="20"/>
              </w:rPr>
              <w:t>Note: It is up to RAN2 on how to define signalling support for the reporting of the timestamps of the RSCP/RSCPD measurements.</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i w:val="0"/>
          <w:iCs w:val="0"/>
          <w:sz w:val="20"/>
          <w:szCs w:val="20"/>
          <w:lang w:val="en-US" w:eastAsia="zh-CN"/>
        </w:rPr>
      </w:pPr>
      <w:r>
        <w:rPr>
          <w:rFonts w:hint="eastAsia" w:ascii="Times New Roman" w:hAnsi="Times New Roman" w:cs="Times New Roman"/>
          <w:i w:val="0"/>
          <w:iCs w:val="0"/>
          <w:sz w:val="20"/>
          <w:szCs w:val="20"/>
          <w:lang w:val="en-US" w:eastAsia="zh-CN"/>
        </w:rPr>
        <w:t xml:space="preserve">It implies that the UE can report 1,2,..., </w:t>
      </w:r>
      <w:r>
        <w:rPr>
          <w:rFonts w:hint="default" w:ascii="Times New Roman" w:hAnsi="Times New Roman" w:cs="Times New Roman"/>
          <w:i w:val="0"/>
          <w:iCs w:val="0"/>
          <w:sz w:val="20"/>
          <w:szCs w:val="20"/>
          <w:lang w:val="en-US" w:eastAsia="zh-CN"/>
        </w:rPr>
        <w:t>N</w:t>
      </w:r>
      <w:r>
        <w:rPr>
          <w:rFonts w:hint="default" w:ascii="Times New Roman" w:hAnsi="Times New Roman" w:cs="Times New Roman"/>
          <w:i w:val="0"/>
          <w:iCs w:val="0"/>
          <w:sz w:val="20"/>
          <w:szCs w:val="20"/>
          <w:vertAlign w:val="subscript"/>
          <w:lang w:val="en-US" w:eastAsia="zh-CN"/>
        </w:rPr>
        <w:t>sample</w:t>
      </w:r>
      <w:r>
        <w:rPr>
          <w:rFonts w:hint="eastAsia" w:ascii="Times New Roman" w:hAnsi="Times New Roman" w:cs="Times New Roman"/>
          <w:i w:val="0"/>
          <w:iCs w:val="0"/>
          <w:sz w:val="20"/>
          <w:szCs w:val="20"/>
          <w:vertAlign w:val="subscript"/>
          <w:lang w:val="en-US" w:eastAsia="zh-CN"/>
        </w:rPr>
        <w:t xml:space="preserve"> </w:t>
      </w:r>
      <w:r>
        <w:rPr>
          <w:rFonts w:hint="default" w:ascii="Times New Roman" w:hAnsi="Times New Roman" w:cs="Times New Roman"/>
          <w:i w:val="0"/>
          <w:iCs w:val="0"/>
          <w:sz w:val="20"/>
          <w:szCs w:val="20"/>
          <w:lang w:val="en-US" w:eastAsia="zh-CN"/>
        </w:rPr>
        <w:t>RSCP/RSCPD measurements</w:t>
      </w:r>
      <w:r>
        <w:rPr>
          <w:rFonts w:hint="eastAsia" w:ascii="Times New Roman" w:hAnsi="Times New Roman" w:cs="Times New Roman"/>
          <w:i w:val="0"/>
          <w:iCs w:val="0"/>
          <w:sz w:val="20"/>
          <w:szCs w:val="20"/>
          <w:lang w:val="en-US" w:eastAsia="zh-CN"/>
        </w:rPr>
        <w:t>, whereas the current specification indicates that t</w:t>
      </w:r>
      <w:r>
        <w:rPr>
          <w:rFonts w:hint="default" w:ascii="Times New Roman" w:hAnsi="Times New Roman" w:cs="Times New Roman"/>
          <w:sz w:val="20"/>
          <w:szCs w:val="20"/>
        </w:rPr>
        <w:t>he UE may</w:t>
      </w:r>
      <w:r>
        <w:rPr>
          <w:rFonts w:hint="default" w:ascii="Times New Roman" w:hAnsi="Times New Roman" w:cs="Times New Roman"/>
          <w:sz w:val="20"/>
          <w:szCs w:val="20"/>
          <w:highlight w:val="yellow"/>
        </w:rPr>
        <w:t xml:space="preserve"> report</w:t>
      </w:r>
      <w:r>
        <w:rPr>
          <w:rFonts w:hint="default" w:ascii="Times New Roman" w:hAnsi="Times New Roman" w:cs="Times New Roman"/>
          <w:color w:val="000000"/>
          <w:sz w:val="20"/>
          <w:szCs w:val="20"/>
          <w:highlight w:val="yellow"/>
          <w:lang w:val="en-US" w:eastAsia="zh-CN"/>
        </w:rPr>
        <w:t xml:space="preserve"> </w:t>
      </w:r>
      <m:oMath>
        <m:sSub>
          <m:sSubPr>
            <m:ctrlPr>
              <w:rPr>
                <w:rFonts w:hint="default" w:ascii="Cambria Math" w:hAnsi="Cambria Math" w:cs="Times New Roman"/>
                <w:i/>
                <w:sz w:val="20"/>
                <w:szCs w:val="20"/>
                <w:highlight w:val="yellow"/>
              </w:rPr>
            </m:ctrlPr>
          </m:sSubPr>
          <m:e>
            <m:r>
              <m:rPr/>
              <w:rPr>
                <w:rFonts w:hint="default" w:ascii="Cambria Math" w:hAnsi="Cambria Math" w:cs="Times New Roman"/>
                <w:sz w:val="20"/>
                <w:szCs w:val="20"/>
                <w:highlight w:val="yellow"/>
              </w:rPr>
              <m:t>N</m:t>
            </m:r>
            <m:ctrlPr>
              <w:rPr>
                <w:rFonts w:hint="default" w:ascii="Cambria Math" w:hAnsi="Cambria Math" w:cs="Times New Roman"/>
                <w:i/>
                <w:sz w:val="20"/>
                <w:szCs w:val="20"/>
                <w:highlight w:val="yellow"/>
              </w:rPr>
            </m:ctrlPr>
          </m:e>
          <m:sub>
            <m:r>
              <m:rPr/>
              <w:rPr>
                <w:rFonts w:hint="default" w:ascii="Cambria Math" w:hAnsi="Cambria Math" w:cs="Times New Roman"/>
                <w:sz w:val="20"/>
                <w:szCs w:val="20"/>
                <w:highlight w:val="yellow"/>
              </w:rPr>
              <m:t>sample</m:t>
            </m:r>
            <m:ctrlPr>
              <w:rPr>
                <w:rFonts w:hint="default" w:ascii="Cambria Math" w:hAnsi="Cambria Math" w:cs="Times New Roman"/>
                <w:i/>
                <w:sz w:val="20"/>
                <w:szCs w:val="20"/>
                <w:highlight w:val="yellow"/>
              </w:rPr>
            </m:ctrlPr>
          </m:sub>
        </m:sSub>
      </m:oMath>
      <w:r>
        <w:rPr>
          <w:rFonts w:hint="default" w:ascii="Times New Roman" w:hAnsi="Times New Roman" w:cs="Times New Roman"/>
          <w:sz w:val="20"/>
          <w:szCs w:val="20"/>
          <w:highlight w:val="yellow"/>
        </w:rPr>
        <w:t xml:space="preserve"> RSCPD</w:t>
      </w:r>
      <w:r>
        <w:rPr>
          <w:rFonts w:hint="default" w:ascii="Times New Roman" w:hAnsi="Times New Roman" w:cs="Times New Roman"/>
          <w:sz w:val="20"/>
          <w:szCs w:val="20"/>
          <w:highlight w:val="yellow"/>
          <w:lang w:val="en-US" w:eastAsia="zh-CN"/>
        </w:rPr>
        <w:t>/</w:t>
      </w:r>
      <w:r>
        <w:rPr>
          <w:rFonts w:hint="default" w:ascii="Times New Roman" w:hAnsi="Times New Roman" w:cs="Times New Roman"/>
          <w:sz w:val="20"/>
          <w:szCs w:val="20"/>
          <w:highlight w:val="yellow"/>
        </w:rPr>
        <w:t>RSCP measurements</w:t>
      </w:r>
      <w:r>
        <w:rPr>
          <w:rFonts w:hint="default" w:ascii="Times New Roman" w:hAnsi="Times New Roman" w:cs="Times New Roman"/>
          <w:sz w:val="20"/>
          <w:szCs w:val="20"/>
        </w:rPr>
        <w:t>.</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highlight w:val="none"/>
          <w:lang w:val="en-US" w:eastAsia="zh-CN"/>
        </w:rPr>
      </w:pPr>
      <w:r>
        <w:rPr>
          <w:rFonts w:hint="eastAsia" w:ascii="Times New Roman" w:hAnsi="Times New Roman"/>
          <w:b/>
          <w:bCs/>
          <w:iCs/>
          <w:sz w:val="20"/>
          <w:szCs w:val="20"/>
          <w:highlight w:val="none"/>
          <w:lang w:val="en-US" w:eastAsia="zh-CN"/>
        </w:rPr>
        <w:t>Summary of change</w:t>
      </w:r>
      <w:r>
        <w:rPr>
          <w:rFonts w:hint="eastAsia" w:ascii="Times New Roman" w:hAnsi="Times New Roman"/>
          <w:iCs/>
          <w:sz w:val="20"/>
          <w:szCs w:val="20"/>
          <w:highlight w:val="none"/>
          <w:lang w:val="en-US" w:eastAsia="zh-CN"/>
        </w:rPr>
        <w:t>: Change the description of the report for RSCPD and RSCP measurement.</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lang w:val="en-US" w:eastAsia="zh-CN"/>
        </w:rPr>
      </w:pPr>
      <w:r>
        <w:rPr>
          <w:rFonts w:hint="eastAsia" w:ascii="Times New Roman" w:hAnsi="Times New Roman"/>
          <w:b/>
          <w:bCs/>
          <w:iCs/>
          <w:sz w:val="20"/>
          <w:szCs w:val="20"/>
          <w:lang w:val="en-US" w:eastAsia="zh-CN"/>
        </w:rPr>
        <w:t>Consequences if not approved</w:t>
      </w:r>
      <w:r>
        <w:rPr>
          <w:rFonts w:hint="eastAsia" w:ascii="Times New Roman" w:hAnsi="Times New Roman"/>
          <w:iCs/>
          <w:sz w:val="20"/>
          <w:szCs w:val="20"/>
          <w:lang w:val="en-US" w:eastAsia="zh-CN"/>
        </w:rPr>
        <w:t>: The specification is not aligned with agreement.</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lang w:val="en-US" w:eastAsia="zh-CN"/>
        </w:rPr>
      </w:pPr>
      <w:r>
        <w:rPr>
          <w:rFonts w:hint="eastAsia" w:ascii="Times New Roman" w:hAnsi="Times New Roman"/>
          <w:b/>
          <w:bCs/>
          <w:iCs/>
          <w:sz w:val="20"/>
          <w:szCs w:val="20"/>
          <w:lang w:val="en-US" w:eastAsia="zh-CN"/>
        </w:rPr>
        <w:t>Clauses affected</w:t>
      </w:r>
      <w:r>
        <w:rPr>
          <w:rFonts w:hint="eastAsia" w:ascii="Times New Roman" w:hAnsi="Times New Roman"/>
          <w:iCs/>
          <w:sz w:val="20"/>
          <w:szCs w:val="20"/>
          <w:lang w:val="en-US" w:eastAsia="zh-CN"/>
        </w:rPr>
        <w:t>: 5.1.6.5.2</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&lt;Unrelated part omitted&gt;</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left"/>
        <w:textAlignment w:val="auto"/>
        <w:rPr>
          <w:rFonts w:hint="default" w:ascii="Times New Roman" w:hAnsi="Times New Roman" w:cs="Times New Roman"/>
          <w:color w:val="FF0000"/>
          <w:sz w:val="20"/>
          <w:szCs w:val="20"/>
          <w:lang w:val="en-US" w:eastAsia="zh-CN"/>
        </w:rPr>
      </w:pPr>
      <w:r>
        <w:rPr>
          <w:rFonts w:hint="default" w:ascii="Times New Roman" w:hAnsi="Times New Roman" w:cs="Times New Roman"/>
          <w:iCs/>
          <w:sz w:val="20"/>
          <w:szCs w:val="20"/>
          <w:lang w:val="en-US" w:eastAsia="zh-CN"/>
        </w:rPr>
        <w:t>5.1.6.5.2</w:t>
      </w:r>
      <w:r>
        <w:rPr>
          <w:rFonts w:hint="eastAsia" w:ascii="Times New Roman" w:hAnsi="Times New Roman" w:cs="Times New Roman"/>
          <w:iCs/>
          <w:sz w:val="20"/>
          <w:szCs w:val="20"/>
          <w:lang w:val="en-US" w:eastAsia="zh-CN"/>
        </w:rPr>
        <w:t xml:space="preserve"> </w:t>
      </w:r>
      <w:r>
        <w:rPr>
          <w:rFonts w:hint="default" w:ascii="Times New Roman" w:hAnsi="Times New Roman" w:cs="Times New Roman"/>
          <w:iCs/>
          <w:sz w:val="20"/>
          <w:szCs w:val="20"/>
          <w:lang w:val="en-US" w:eastAsia="zh-CN"/>
        </w:rPr>
        <w:tab/>
      </w:r>
      <w:r>
        <w:rPr>
          <w:rFonts w:hint="default" w:ascii="Times New Roman" w:hAnsi="Times New Roman" w:cs="Times New Roman"/>
          <w:iCs/>
          <w:sz w:val="20"/>
          <w:szCs w:val="20"/>
          <w:lang w:val="en-US" w:eastAsia="zh-CN"/>
        </w:rPr>
        <w:t>PRS for carrier phase positioning</w:t>
      </w:r>
    </w:p>
    <w:p>
      <w:pPr>
        <w:keepNext w:val="0"/>
        <w:keepLines w:val="0"/>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DL UE positioning measurement reporting in higher layer parameter </w:t>
      </w:r>
      <w:r>
        <w:rPr>
          <w:rFonts w:hint="default" w:ascii="Times New Roman" w:hAnsi="Times New Roman" w:cs="Times New Roman"/>
          <w:bCs/>
          <w:i/>
          <w:sz w:val="20"/>
          <w:szCs w:val="20"/>
          <w:lang w:eastAsia="zh-CN"/>
        </w:rPr>
        <w:t>NR-DL-TDOA-SignalMeasurementInformation,</w:t>
      </w:r>
      <w:r>
        <w:rPr>
          <w:rFonts w:hint="default" w:ascii="Times New Roman" w:hAnsi="Times New Roman" w:cs="Times New Roman"/>
          <w:i/>
          <w:iCs/>
          <w:snapToGrid w:val="0"/>
          <w:sz w:val="20"/>
          <w:szCs w:val="20"/>
        </w:rPr>
        <w:t xml:space="preserve"> </w:t>
      </w:r>
      <w:r>
        <w:rPr>
          <w:rFonts w:hint="default" w:ascii="Times New Roman" w:hAnsi="Times New Roman" w:cs="Times New Roman"/>
          <w:sz w:val="20"/>
          <w:szCs w:val="20"/>
        </w:rPr>
        <w:t xml:space="preserve">the UE may be configured to report the DL Reference Signal Carrier Phase Difference (RSCPD) [7, TS 38.215] measurement along with the DL RSTD. When the UE reports RSCPD measurements, the reference </w:t>
      </w:r>
      <w:r>
        <w:rPr>
          <w:rFonts w:hint="default" w:ascii="Times New Roman" w:hAnsi="Times New Roman" w:cs="Times New Roman"/>
          <w:i/>
          <w:iCs/>
          <w:snapToGrid w:val="0"/>
          <w:sz w:val="20"/>
          <w:szCs w:val="20"/>
        </w:rPr>
        <w:t>nr-DL-PRS-ReferenceInfo</w:t>
      </w:r>
      <w:r>
        <w:rPr>
          <w:rFonts w:hint="default" w:ascii="Times New Roman" w:hAnsi="Times New Roman" w:cs="Times New Roman"/>
          <w:sz w:val="20"/>
          <w:szCs w:val="20"/>
        </w:rPr>
        <w:t xml:space="preserve"> is the same as the one reported, for the RSTD measurements. For DL UE positioning measurement reporting in higher layer parameter </w:t>
      </w:r>
      <w:r>
        <w:rPr>
          <w:rFonts w:hint="default" w:ascii="Times New Roman" w:hAnsi="Times New Roman" w:cs="Times New Roman"/>
          <w:bCs/>
          <w:i/>
          <w:sz w:val="20"/>
          <w:szCs w:val="20"/>
          <w:lang w:eastAsia="zh-CN"/>
        </w:rPr>
        <w:t>NR-Multi-RTT-SignalMeasurementInformation,</w:t>
      </w:r>
      <w:r>
        <w:rPr>
          <w:rFonts w:hint="default" w:ascii="Times New Roman" w:hAnsi="Times New Roman" w:cs="Times New Roman"/>
          <w:i/>
          <w:iCs/>
          <w:snapToGrid w:val="0"/>
          <w:sz w:val="20"/>
          <w:szCs w:val="20"/>
        </w:rPr>
        <w:t xml:space="preserve"> </w:t>
      </w:r>
      <w:r>
        <w:rPr>
          <w:rFonts w:hint="default" w:ascii="Times New Roman" w:hAnsi="Times New Roman" w:cs="Times New Roman"/>
          <w:sz w:val="20"/>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pPr>
        <w:keepNext w:val="0"/>
        <w:keepLines w:val="0"/>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UE is expected to obtain 1 DL RSCP or DL RSCPD measurement with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sample</m:t>
            </m:r>
            <m:ctrlPr>
              <w:rPr>
                <w:rFonts w:hint="default" w:ascii="Cambria Math" w:hAnsi="Cambria Math" w:cs="Times New Roman"/>
                <w:i/>
                <w:sz w:val="20"/>
                <w:szCs w:val="20"/>
              </w:rPr>
            </m:ctrlPr>
          </m:sub>
        </m:sSub>
        <m:r>
          <m:rPr/>
          <w:rPr>
            <w:rFonts w:hint="default" w:ascii="Cambria Math" w:hAnsi="Cambria Math" w:cs="Times New Roman"/>
            <w:sz w:val="20"/>
            <w:szCs w:val="20"/>
          </w:rPr>
          <m:t>=1</m:t>
        </m:r>
      </m:oMath>
      <w:r>
        <w:rPr>
          <w:rFonts w:hint="default" w:ascii="Times New Roman" w:hAnsi="Times New Roman" w:cs="Times New Roman"/>
          <w:sz w:val="20"/>
          <w:szCs w:val="20"/>
        </w:rPr>
        <w:t xml:space="preserve"> as defined in [11, TS 38.133]. The UE may report a DL RSTD measurement with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sample</m:t>
            </m:r>
            <m:ctrlPr>
              <w:rPr>
                <w:rFonts w:hint="default" w:ascii="Cambria Math" w:hAnsi="Cambria Math" w:cs="Times New Roman"/>
                <w:i/>
                <w:sz w:val="20"/>
                <w:szCs w:val="20"/>
              </w:rPr>
            </m:ctrlPr>
          </m:sub>
        </m:sSub>
      </m:oMath>
      <w:r>
        <w:rPr>
          <w:rFonts w:hint="default" w:ascii="Times New Roman" w:hAnsi="Times New Roman" w:cs="Times New Roman"/>
          <w:sz w:val="20"/>
          <w:szCs w:val="20"/>
          <w:lang w:val="en-US" w:eastAsia="zh-CN"/>
        </w:rPr>
        <w:t xml:space="preserve"> </w:t>
      </w:r>
      <w:r>
        <w:rPr>
          <w:rFonts w:hint="default" w:ascii="Times New Roman" w:hAnsi="Times New Roman" w:cs="Times New Roman"/>
          <w:color w:val="000000"/>
          <w:sz w:val="20"/>
          <w:szCs w:val="20"/>
          <w:lang w:val="en-US" w:eastAsia="zh-CN"/>
        </w:rPr>
        <w:t xml:space="preserve">= 2 or 4 samples as </w:t>
      </w:r>
      <w:r>
        <w:rPr>
          <w:rFonts w:hint="default" w:ascii="Times New Roman" w:hAnsi="Times New Roman" w:cs="Times New Roman"/>
          <w:color w:val="000000"/>
          <w:sz w:val="20"/>
          <w:szCs w:val="20"/>
        </w:rPr>
        <w:t>defined in [11, TS 38.133] and</w:t>
      </w:r>
      <w:r>
        <w:rPr>
          <w:rFonts w:hint="eastAsia" w:ascii="Times New Roman" w:hAnsi="Times New Roman" w:cs="Times New Roman"/>
          <w:color w:val="000000"/>
          <w:sz w:val="20"/>
          <w:szCs w:val="20"/>
          <w:lang w:val="en-US" w:eastAsia="zh-CN"/>
        </w:rPr>
        <w:t xml:space="preserve"> </w:t>
      </w:r>
      <w:ins w:id="5" w:author="00335016" w:date="2023-10-23T10:21:00Z">
        <w:r>
          <w:rPr>
            <w:rFonts w:hint="eastAsia" w:ascii="Times New Roman" w:hAnsi="Times New Roman" w:cs="Times New Roman"/>
            <w:color w:val="000000"/>
            <w:sz w:val="20"/>
            <w:szCs w:val="20"/>
            <w:lang w:val="en-US" w:eastAsia="zh-CN"/>
          </w:rPr>
          <w:t>up</w:t>
        </w:r>
      </w:ins>
      <w:ins w:id="6" w:author="00335016" w:date="2023-10-23T10:21:01Z">
        <w:r>
          <w:rPr>
            <w:rFonts w:hint="eastAsia" w:ascii="Times New Roman" w:hAnsi="Times New Roman" w:cs="Times New Roman"/>
            <w:color w:val="000000"/>
            <w:sz w:val="20"/>
            <w:szCs w:val="20"/>
            <w:lang w:val="en-US" w:eastAsia="zh-CN"/>
          </w:rPr>
          <w:t xml:space="preserve"> to</w:t>
        </w:r>
      </w:ins>
      <w:r>
        <w:rPr>
          <w:rFonts w:hint="default" w:ascii="Times New Roman" w:hAnsi="Times New Roman" w:cs="Times New Roman"/>
          <w:color w:val="000000"/>
          <w:sz w:val="20"/>
          <w:szCs w:val="20"/>
        </w:rPr>
        <w:t xml:space="preserv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sample</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RSCPD measurements associated with the DL RSTD measurement. The UE may report a UE Rx-Tx time difference measurement with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sample</m:t>
            </m:r>
            <m:ctrlPr>
              <w:rPr>
                <w:rFonts w:hint="default" w:ascii="Cambria Math" w:hAnsi="Cambria Math" w:cs="Times New Roman"/>
                <w:i/>
                <w:sz w:val="20"/>
                <w:szCs w:val="20"/>
              </w:rPr>
            </m:ctrlPr>
          </m:sub>
        </m:sSub>
      </m:oMath>
      <w:r>
        <w:rPr>
          <w:rFonts w:hint="default" w:ascii="Times New Roman" w:hAnsi="Times New Roman" w:cs="Times New Roman"/>
          <w:sz w:val="20"/>
          <w:szCs w:val="20"/>
          <w:lang w:val="en-US" w:eastAsia="zh-CN"/>
        </w:rPr>
        <w:t xml:space="preserve"> </w:t>
      </w:r>
      <w:r>
        <w:rPr>
          <w:rFonts w:hint="default" w:ascii="Times New Roman" w:hAnsi="Times New Roman" w:cs="Times New Roman"/>
          <w:color w:val="000000"/>
          <w:sz w:val="20"/>
          <w:szCs w:val="20"/>
          <w:lang w:val="en-US" w:eastAsia="zh-CN"/>
        </w:rPr>
        <w:t xml:space="preserve">= 2 or 4 samples as </w:t>
      </w:r>
      <w:r>
        <w:rPr>
          <w:rFonts w:hint="default" w:ascii="Times New Roman" w:hAnsi="Times New Roman" w:cs="Times New Roman"/>
          <w:color w:val="000000"/>
          <w:sz w:val="20"/>
          <w:szCs w:val="20"/>
        </w:rPr>
        <w:t>defined in [11, TS 38.133] and</w:t>
      </w:r>
      <w:ins w:id="7" w:author="00335016" w:date="2023-10-23T10:21:09Z">
        <w:r>
          <w:rPr>
            <w:rFonts w:hint="eastAsia" w:ascii="Times New Roman" w:hAnsi="Times New Roman" w:cs="Times New Roman"/>
            <w:color w:val="000000"/>
            <w:sz w:val="20"/>
            <w:szCs w:val="20"/>
            <w:lang w:val="en-US" w:eastAsia="zh-CN"/>
          </w:rPr>
          <w:t xml:space="preserve"> up to</w:t>
        </w:r>
      </w:ins>
      <w:r>
        <w:rPr>
          <w:rFonts w:hint="default" w:ascii="Times New Roman" w:hAnsi="Times New Roman" w:cs="Times New Roman"/>
          <w:color w:val="000000"/>
          <w:sz w:val="20"/>
          <w:szCs w:val="20"/>
        </w:rPr>
        <w:t xml:space="preserv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sample</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RSCP measurements associated with the UE Rx-Tx time difference measurement. </w:t>
      </w:r>
    </w:p>
    <w:p>
      <w:pPr>
        <w:keepNext w:val="0"/>
        <w:keepLines w:val="0"/>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When the UE reports a timestamp associated with a DL RSCP measurement or a DL RSCPD measurement, subject to UE capability, it may include a symbol index in the timestamp.</w:t>
      </w:r>
    </w:p>
    <w:p>
      <w:pPr>
        <w:keepNext w:val="0"/>
        <w:keepLines w:val="0"/>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If the UE reports LoS/NLoS indicator(s) via higher layer parameter </w:t>
      </w:r>
      <w:r>
        <w:rPr>
          <w:rFonts w:hint="default" w:ascii="Times New Roman" w:hAnsi="Times New Roman" w:cs="Times New Roman"/>
          <w:i/>
          <w:iCs/>
          <w:snapToGrid w:val="0"/>
          <w:sz w:val="20"/>
          <w:szCs w:val="20"/>
        </w:rPr>
        <w:t>nr-</w:t>
      </w:r>
      <w:r>
        <w:rPr>
          <w:rFonts w:hint="default" w:ascii="Times New Roman" w:hAnsi="Times New Roman" w:cs="Times New Roman"/>
          <w:i/>
          <w:iCs/>
          <w:sz w:val="20"/>
          <w:szCs w:val="20"/>
        </w:rPr>
        <w:t xml:space="preserve">los-nlos-Indicator </w:t>
      </w:r>
      <w:r>
        <w:rPr>
          <w:rFonts w:hint="default" w:ascii="Times New Roman" w:hAnsi="Times New Roman" w:cs="Times New Roman"/>
          <w:sz w:val="20"/>
          <w:szCs w:val="20"/>
        </w:rPr>
        <w:t xml:space="preserve">along with a measurement report containing DL RSCP or DL RSCPD the LoS/NLoS indicator(s) are assumed to also apply to the DL RSCP or DL RSCPD measurements. </w:t>
      </w:r>
    </w:p>
    <w:p>
      <w:pPr>
        <w:keepNext w:val="0"/>
        <w:keepLines w:val="0"/>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UE may be provided with [higher layer parameter] which contains DL carrier phase measurements performed by a positioning reference unit (PRU) [20, TS 38.305] the timestamps associated with the measurements, and the location information of the PRU. </w:t>
      </w:r>
    </w:p>
    <w:p>
      <w:pPr>
        <w:keepNext w:val="0"/>
        <w:keepLines w:val="0"/>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UE may be configured to report quality metrics [higher layer parameter] corresponding to the DL </w:t>
      </w:r>
      <w:r>
        <w:rPr>
          <w:rFonts w:hint="default" w:ascii="Times New Roman" w:hAnsi="Times New Roman" w:cs="Times New Roman"/>
          <w:sz w:val="20"/>
          <w:szCs w:val="20"/>
          <w:lang w:eastAsia="zh-CN"/>
        </w:rPr>
        <w:t>RSCP</w:t>
      </w:r>
      <w:r>
        <w:rPr>
          <w:rFonts w:hint="default" w:ascii="Times New Roman" w:hAnsi="Times New Roman" w:cs="Times New Roman"/>
          <w:sz w:val="20"/>
          <w:szCs w:val="20"/>
        </w:rPr>
        <w:t xml:space="preserve"> and RSCPD measurements which include the following fields [17, TS 37.355]:</w:t>
      </w:r>
    </w:p>
    <w:p>
      <w:pPr>
        <w:pStyle w:val="86"/>
        <w:keepNext w:val="0"/>
        <w:keepLines w:val="0"/>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iCs/>
          <w:sz w:val="20"/>
          <w:szCs w:val="20"/>
          <w:lang w:val="en-US" w:eastAsia="ja-JP"/>
        </w:rPr>
      </w:pPr>
      <w:r>
        <w:rPr>
          <w:rFonts w:hint="default" w:ascii="Times New Roman" w:hAnsi="Times New Roman" w:cs="Times New Roman"/>
          <w:i/>
          <w:sz w:val="20"/>
          <w:szCs w:val="20"/>
        </w:rPr>
        <w:t>-</w:t>
      </w:r>
      <w:r>
        <w:rPr>
          <w:rFonts w:hint="default" w:ascii="Times New Roman" w:hAnsi="Times New Roman" w:cs="Times New Roman"/>
          <w:i/>
          <w:sz w:val="20"/>
          <w:szCs w:val="20"/>
        </w:rPr>
        <w:tab/>
      </w:r>
      <w:r>
        <w:rPr>
          <w:rFonts w:hint="default" w:ascii="Times New Roman" w:hAnsi="Times New Roman" w:cs="Times New Roman"/>
          <w:i/>
          <w:sz w:val="20"/>
          <w:szCs w:val="20"/>
          <w:lang w:val="en-US"/>
        </w:rPr>
        <w:t>[</w:t>
      </w:r>
      <w:r>
        <w:rPr>
          <w:rFonts w:hint="default" w:ascii="Times New Roman" w:hAnsi="Times New Roman" w:cs="Times New Roman"/>
          <w:i/>
          <w:iCs/>
          <w:sz w:val="20"/>
          <w:szCs w:val="20"/>
        </w:rPr>
        <w:t>phase</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z w:val="20"/>
          <w:szCs w:val="20"/>
        </w:rPr>
        <w:t>quality</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z w:val="20"/>
          <w:szCs w:val="20"/>
        </w:rPr>
        <w:t>index</w:t>
      </w:r>
      <w:r>
        <w:rPr>
          <w:rFonts w:hint="default" w:ascii="Times New Roman" w:hAnsi="Times New Roman" w:cs="Times New Roman"/>
          <w:i/>
          <w:iCs/>
          <w:sz w:val="20"/>
          <w:szCs w:val="20"/>
          <w:lang w:val="en-US"/>
        </w:rPr>
        <w:t>]</w:t>
      </w:r>
      <w:r>
        <w:rPr>
          <w:rFonts w:hint="default" w:ascii="Times New Roman" w:hAnsi="Times New Roman" w:cs="Times New Roman"/>
          <w:i/>
          <w:iCs/>
          <w:sz w:val="20"/>
          <w:szCs w:val="20"/>
        </w:rPr>
        <w:t xml:space="preserve"> </w:t>
      </w:r>
      <w:r>
        <w:rPr>
          <w:rFonts w:hint="default" w:ascii="Times New Roman" w:hAnsi="Times New Roman" w:cs="Times New Roman"/>
          <w:sz w:val="20"/>
          <w:szCs w:val="20"/>
        </w:rPr>
        <w:t>which provides the uncertainty of the measurement</w:t>
      </w:r>
    </w:p>
    <w:p>
      <w:pPr>
        <w:pStyle w:val="86"/>
        <w:keepNext w:val="0"/>
        <w:keepLines w:val="0"/>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i/>
          <w:sz w:val="20"/>
          <w:szCs w:val="20"/>
        </w:rPr>
        <w:t>-</w:t>
      </w:r>
      <w:r>
        <w:rPr>
          <w:rFonts w:hint="default" w:ascii="Times New Roman" w:hAnsi="Times New Roman" w:cs="Times New Roman"/>
          <w:i/>
          <w:sz w:val="20"/>
          <w:szCs w:val="20"/>
        </w:rPr>
        <w:tab/>
      </w:r>
      <w:r>
        <w:rPr>
          <w:rFonts w:hint="default" w:ascii="Times New Roman" w:hAnsi="Times New Roman" w:cs="Times New Roman"/>
          <w:i/>
          <w:sz w:val="20"/>
          <w:szCs w:val="20"/>
          <w:lang w:val="en-US"/>
        </w:rPr>
        <w:t>[</w:t>
      </w:r>
      <w:r>
        <w:rPr>
          <w:rFonts w:hint="default" w:ascii="Times New Roman" w:hAnsi="Times New Roman" w:cs="Times New Roman"/>
          <w:i/>
          <w:iCs/>
          <w:snapToGrid w:val="0"/>
          <w:sz w:val="20"/>
          <w:szCs w:val="20"/>
        </w:rPr>
        <w:t>phase</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napToGrid w:val="0"/>
          <w:sz w:val="20"/>
          <w:szCs w:val="20"/>
        </w:rPr>
        <w:t>quality</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napToGrid w:val="0"/>
          <w:sz w:val="20"/>
          <w:szCs w:val="20"/>
        </w:rPr>
        <w:t>resolution</w:t>
      </w:r>
      <w:r>
        <w:rPr>
          <w:rFonts w:hint="default" w:ascii="Times New Roman" w:hAnsi="Times New Roman" w:cs="Times New Roman"/>
          <w:i/>
          <w:iCs/>
          <w:snapToGrid w:val="0"/>
          <w:sz w:val="20"/>
          <w:szCs w:val="20"/>
          <w:lang w:val="en-US"/>
        </w:rPr>
        <w:t>]</w:t>
      </w:r>
      <w:r>
        <w:rPr>
          <w:rFonts w:hint="default" w:ascii="Times New Roman" w:hAnsi="Times New Roman" w:cs="Times New Roman"/>
          <w:i/>
          <w:iCs/>
          <w:snapToGrid w:val="0"/>
          <w:sz w:val="20"/>
          <w:szCs w:val="20"/>
        </w:rPr>
        <w:t xml:space="preserve"> </w:t>
      </w:r>
      <w:r>
        <w:rPr>
          <w:rFonts w:hint="default" w:ascii="Times New Roman" w:hAnsi="Times New Roman" w:cs="Times New Roman"/>
          <w:sz w:val="20"/>
          <w:szCs w:val="20"/>
        </w:rPr>
        <w:t xml:space="preserve">which specifies the resolution levels used in the </w:t>
      </w:r>
      <w:r>
        <w:rPr>
          <w:rFonts w:hint="default" w:ascii="Times New Roman" w:hAnsi="Times New Roman" w:cs="Times New Roman"/>
          <w:sz w:val="20"/>
          <w:szCs w:val="20"/>
          <w:lang w:val="en-US"/>
        </w:rPr>
        <w:t>[</w:t>
      </w:r>
      <w:r>
        <w:rPr>
          <w:rFonts w:hint="default" w:ascii="Times New Roman" w:hAnsi="Times New Roman" w:cs="Times New Roman"/>
          <w:i/>
          <w:iCs/>
          <w:sz w:val="20"/>
          <w:szCs w:val="20"/>
        </w:rPr>
        <w:t>phase</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z w:val="20"/>
          <w:szCs w:val="20"/>
        </w:rPr>
        <w:t>quality</w:t>
      </w:r>
      <w:r>
        <w:rPr>
          <w:rFonts w:hint="default" w:ascii="Times New Roman" w:hAnsi="Times New Roman" w:cs="Times New Roman"/>
          <w:i/>
          <w:iCs/>
          <w:sz w:val="20"/>
          <w:szCs w:val="20"/>
          <w:lang w:eastAsia="zh-CN"/>
        </w:rPr>
        <w:t xml:space="preserve"> </w:t>
      </w:r>
      <w:r>
        <w:rPr>
          <w:rFonts w:hint="default" w:ascii="Times New Roman" w:hAnsi="Times New Roman" w:cs="Times New Roman"/>
          <w:i/>
          <w:iCs/>
          <w:sz w:val="20"/>
          <w:szCs w:val="20"/>
        </w:rPr>
        <w:t>index</w:t>
      </w:r>
      <w:r>
        <w:rPr>
          <w:rFonts w:hint="default" w:ascii="Times New Roman" w:hAnsi="Times New Roman" w:cs="Times New Roman"/>
          <w:i/>
          <w:iCs/>
          <w:sz w:val="20"/>
          <w:szCs w:val="20"/>
          <w:lang w:val="en-US"/>
        </w:rPr>
        <w:t>]</w:t>
      </w:r>
      <w:r>
        <w:rPr>
          <w:rFonts w:hint="default" w:ascii="Times New Roman" w:hAnsi="Times New Roman" w:cs="Times New Roman"/>
          <w:sz w:val="20"/>
          <w:szCs w:val="20"/>
        </w:rPr>
        <w:t xml:space="preserve"> field.</w:t>
      </w:r>
    </w:p>
    <w:p>
      <w:pPr>
        <w:pStyle w:val="86"/>
        <w:keepNext w:val="0"/>
        <w:keepLines w:val="0"/>
        <w:pageBreakBefore w:val="0"/>
        <w:widowControl/>
        <w:kinsoku/>
        <w:wordWrap/>
        <w:overflowPunct/>
        <w:topLinePunct w:val="0"/>
        <w:autoSpaceDE/>
        <w:autoSpaceDN/>
        <w:bidi w:val="0"/>
        <w:adjustRightInd w:val="0"/>
        <w:snapToGrid w:val="0"/>
        <w:spacing w:after="180" w:line="240" w:lineRule="auto"/>
        <w:ind w:left="0" w:hanging="1"/>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UE in RRC_INACTIVE or RRC_IDLE mode is expected to perform the DL carrier phase measurement from the bandwidth of a DL PRS resource including outside of the initial downlink bandwidth part.</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&lt;Unrelated part omitted&gt;</w:t>
      </w:r>
    </w:p>
    <w:p>
      <w:pPr>
        <w:pStyle w:val="2"/>
        <w:snapToGrid w:val="0"/>
        <w:spacing w:before="120" w:after="180" w:afterLines="50"/>
        <w:ind w:left="431" w:hanging="431"/>
        <w:jc w:val="both"/>
        <w:rPr>
          <w:highlight w:val="none"/>
          <w:lang w:val="en-US"/>
        </w:rPr>
      </w:pPr>
      <w:r>
        <w:rPr>
          <w:rFonts w:hint="eastAsia" w:ascii="Times New Roman" w:hAnsi="Times New Roman"/>
          <w:sz w:val="28"/>
          <w:highlight w:val="none"/>
          <w:lang w:val="en-US" w:eastAsia="zh-CN"/>
        </w:rPr>
        <w:t xml:space="preserve">Other remaining issues on carrier phase positioning </w:t>
      </w:r>
    </w:p>
    <w:p>
      <w:pPr>
        <w:pStyle w:val="3"/>
        <w:snapToGrid w:val="0"/>
        <w:spacing w:line="240" w:lineRule="auto"/>
        <w:jc w:val="both"/>
        <w:rPr>
          <w:rFonts w:hint="eastAsia"/>
          <w:sz w:val="24"/>
          <w:szCs w:val="24"/>
          <w:highlight w:val="none"/>
          <w:lang w:val="en-US"/>
        </w:rPr>
      </w:pPr>
      <w:r>
        <w:rPr>
          <w:rFonts w:hint="eastAsia"/>
          <w:sz w:val="24"/>
          <w:szCs w:val="24"/>
          <w:highlight w:val="none"/>
          <w:lang w:val="en-US" w:eastAsia="zh-CN"/>
        </w:rPr>
        <w:t xml:space="preserve">Reporting granularity for DL/UL timing measurements </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lang w:val="en-US" w:eastAsia="zh-CN"/>
        </w:rPr>
        <w:t>In the last RAN1 meeting, it was agreed that finer granularity is supported for DL/UL timing measurement:</w:t>
      </w:r>
      <w:r>
        <w:rPr>
          <w:rFonts w:hint="eastAsia" w:ascii="Times New Roman" w:hAnsi="Times New Roman" w:eastAsia="宋体"/>
          <w:sz w:val="20"/>
          <w:szCs w:val="20"/>
          <w:highlight w:val="none"/>
        </w:rPr>
        <w:t xml:space="preserve">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pStyle w:val="116"/>
              <w:keepNext w:val="0"/>
              <w:keepLines w:val="0"/>
              <w:pageBreakBefore w:val="0"/>
              <w:widowControl/>
              <w:kinsoku/>
              <w:wordWrap/>
              <w:overflowPunct/>
              <w:topLinePunct w:val="0"/>
              <w:autoSpaceDE/>
              <w:autoSpaceDN/>
              <w:bidi w:val="0"/>
              <w:adjustRightInd w:val="0"/>
              <w:snapToGrid w:val="0"/>
              <w:spacing w:before="0" w:after="0" w:line="240" w:lineRule="auto"/>
              <w:textAlignment w:val="auto"/>
              <w:rPr>
                <w:sz w:val="20"/>
                <w:highlight w:val="none"/>
              </w:rPr>
            </w:pPr>
            <w:r>
              <w:rPr>
                <w:rFonts w:hint="default" w:ascii="Times New Roman" w:hAnsi="Times New Roman" w:cs="Times New Roman"/>
                <w:sz w:val="20"/>
                <w:szCs w:val="20"/>
                <w:lang w:val="en-GB"/>
              </w:rPr>
              <w:t xml:space="preserve">From RAN1’s perspective, the granularity with </w:t>
            </w:r>
            <w:r>
              <w:rPr>
                <w:rFonts w:hint="default" w:ascii="Times New Roman" w:hAnsi="Times New Roman" w:cs="Times New Roman"/>
                <w:i/>
                <w:iCs/>
                <w:sz w:val="20"/>
                <w:szCs w:val="20"/>
                <w:lang w:val="en-GB"/>
              </w:rPr>
              <w:t>ReportingGranularityfactor</w:t>
            </w:r>
            <w:r>
              <w:rPr>
                <w:rFonts w:hint="default" w:ascii="Times New Roman" w:hAnsi="Times New Roman" w:cs="Times New Roman"/>
                <w:sz w:val="20"/>
                <w:szCs w:val="20"/>
                <w:lang w:val="en-GB"/>
              </w:rPr>
              <w:t xml:space="preserve"> </w:t>
            </w:r>
            <w:r>
              <w:rPr>
                <w:rFonts w:hint="default" w:ascii="Times New Roman" w:hAnsi="Times New Roman" w:cs="Times New Roman"/>
                <w:i/>
                <w:iCs/>
                <w:sz w:val="20"/>
                <w:szCs w:val="20"/>
                <w:lang w:val="en-GB"/>
              </w:rPr>
              <w:t>k={-1, -2}</w:t>
            </w:r>
            <w:r>
              <w:rPr>
                <w:rFonts w:hint="default" w:ascii="Times New Roman" w:hAnsi="Times New Roman" w:cs="Times New Roman"/>
                <w:sz w:val="20"/>
                <w:szCs w:val="20"/>
                <w:lang w:val="en-GB"/>
              </w:rPr>
              <w:t xml:space="preserve"> for the reporting of DL/UL timing measurements is applicable to all positioning methods.</w:t>
            </w:r>
          </w:p>
        </w:tc>
      </w:tr>
    </w:tbl>
    <w:p>
      <w:pPr>
        <w:pStyle w:val="81"/>
        <w:adjustRightInd w:val="0"/>
        <w:snapToGrid w:val="0"/>
        <w:spacing w:afterLines="50"/>
        <w:ind w:left="0" w:firstLine="0"/>
        <w:jc w:val="both"/>
        <w:rPr>
          <w:rFonts w:hint="eastAsia" w:ascii="Times New Roman" w:hAnsi="Times New Roman"/>
          <w:bCs/>
          <w:szCs w:val="20"/>
          <w:lang w:val="en-US" w:eastAsia="zh-CN"/>
        </w:rPr>
      </w:pPr>
      <w:r>
        <w:rPr>
          <w:rFonts w:hint="eastAsia" w:eastAsia="宋体"/>
          <w:highlight w:val="none"/>
          <w:lang w:val="en-US" w:eastAsia="zh-CN"/>
        </w:rPr>
        <w:t xml:space="preserve">Towards reporting granularity factor for DL/UL timing measurement, RAN1 has similar discussions in bandwidth aggregation agenda, and an LS was sent to RAN4 concerning the feasibility of smaller values for </w:t>
      </w:r>
      <w:r>
        <w:rPr>
          <w:rFonts w:ascii="Times New Roman" w:hAnsi="Times New Roman"/>
          <w:bCs/>
          <w:szCs w:val="20"/>
          <w:lang w:eastAsia="zh-CN"/>
        </w:rPr>
        <w:t>ReportingGranularityfactor</w:t>
      </w:r>
      <w:r>
        <w:rPr>
          <w:rFonts w:hint="eastAsia" w:ascii="Times New Roman" w:hAnsi="Times New Roman"/>
          <w:bCs/>
          <w:szCs w:val="20"/>
          <w:lang w:val="en-US" w:eastAsia="zh-CN"/>
        </w:rPr>
        <w:t>. And RAN4 confirmed the feasibility in RAN4#108 meeting:</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Agreement</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textAlignment w:val="baseline"/>
              <w:rPr>
                <w:rFonts w:hint="default" w:ascii="Times New Roman" w:hAnsi="Times New Roman" w:eastAsia="MS Mincho" w:cs="Times New Roman"/>
                <w:sz w:val="20"/>
                <w:szCs w:val="20"/>
                <w:lang w:eastAsia="zh-CN"/>
              </w:rPr>
            </w:pPr>
            <w:r>
              <w:rPr>
                <w:rFonts w:hint="default" w:ascii="Times New Roman" w:hAnsi="Times New Roman" w:eastAsia="MS Mincho" w:cs="Times New Roman"/>
                <w:sz w:val="20"/>
                <w:szCs w:val="20"/>
                <w:lang w:eastAsia="zh-CN"/>
              </w:rPr>
              <w:t>Send LS to RAN1 if the agreement is reached on the wording:</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textAlignment w:val="baseline"/>
              <w:rPr>
                <w:rFonts w:hint="default" w:ascii="Times New Roman" w:hAnsi="Times New Roman" w:eastAsia="MS Mincho" w:cs="Times New Roman"/>
                <w:sz w:val="20"/>
                <w:szCs w:val="20"/>
                <w:lang w:eastAsia="zh-CN"/>
              </w:rPr>
            </w:pPr>
            <w:r>
              <w:rPr>
                <w:rFonts w:hint="default" w:ascii="Times New Roman" w:hAnsi="Times New Roman" w:eastAsia="MS Mincho" w:cs="Times New Roman"/>
                <w:sz w:val="20"/>
                <w:szCs w:val="20"/>
                <w:lang w:eastAsia="zh-CN"/>
              </w:rPr>
              <w:t>K= -1 and -2 are feasible and beneficial from RAN4 perspective.</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textAlignment w:val="baseline"/>
              <w:rPr>
                <w:rFonts w:hint="default" w:ascii="Times New Roman" w:hAnsi="Times New Roman" w:eastAsia="MS Mincho" w:cs="Times New Roman"/>
                <w:sz w:val="20"/>
                <w:szCs w:val="20"/>
                <w:lang w:eastAsia="zh-CN"/>
              </w:rPr>
            </w:pPr>
            <w:r>
              <w:rPr>
                <w:rFonts w:hint="default" w:ascii="Times New Roman" w:hAnsi="Times New Roman" w:eastAsia="MS Mincho" w:cs="Times New Roman"/>
                <w:sz w:val="20"/>
                <w:szCs w:val="20"/>
                <w:lang w:eastAsia="zh-CN"/>
              </w:rPr>
              <w:t>K=-3, -4, -5, -6 are also feasible. However, RAN4 has not done any study to identify their benefit:</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after="0" w:line="240" w:lineRule="auto"/>
              <w:textAlignment w:val="baseline"/>
              <w:rPr>
                <w:sz w:val="20"/>
                <w:highlight w:val="none"/>
              </w:rPr>
            </w:pPr>
            <w:r>
              <w:rPr>
                <w:rFonts w:hint="default" w:ascii="Times New Roman" w:hAnsi="Times New Roman" w:eastAsia="MS Mincho" w:cs="Times New Roman"/>
                <w:sz w:val="20"/>
                <w:szCs w:val="20"/>
                <w:lang w:eastAsia="zh-CN"/>
              </w:rPr>
              <w:t>Whether =-3, -4, -5, -6 are supported is up to RAN1 decision.</w:t>
            </w:r>
          </w:p>
        </w:tc>
      </w:tr>
    </w:tbl>
    <w:p>
      <w:pPr>
        <w:pStyle w:val="81"/>
        <w:adjustRightInd w:val="0"/>
        <w:snapToGrid w:val="0"/>
        <w:spacing w:afterLines="50"/>
        <w:ind w:left="0" w:firstLine="0"/>
        <w:jc w:val="both"/>
        <w:rPr>
          <w:rFonts w:eastAsia="宋体"/>
          <w:highlight w:val="none"/>
          <w:lang w:val="en-US" w:eastAsia="zh-CN"/>
        </w:rPr>
      </w:pPr>
      <w:r>
        <w:rPr>
          <w:rFonts w:hint="eastAsia" w:ascii="Times New Roman" w:hAnsi="Times New Roman"/>
          <w:bCs/>
          <w:szCs w:val="20"/>
          <w:lang w:val="en-US" w:eastAsia="zh-CN"/>
        </w:rPr>
        <w:t xml:space="preserve">From our perspective, finer timing measurement granularity is beneficial for positioning performance enhancement, and this enhancement </w:t>
      </w:r>
      <w:r>
        <w:rPr>
          <w:rFonts w:hint="eastAsia" w:eastAsia="宋体"/>
          <w:bCs/>
          <w:sz w:val="20"/>
          <w:szCs w:val="20"/>
        </w:rPr>
        <w:t>makes sense because aggregated PRS bandwidth will lead to higher timing resolution</w:t>
      </w:r>
      <w:r>
        <w:rPr>
          <w:rFonts w:hint="eastAsia" w:eastAsia="宋体"/>
          <w:bCs/>
          <w:sz w:val="20"/>
          <w:szCs w:val="20"/>
          <w:lang w:val="en-US" w:eastAsia="zh-CN"/>
        </w:rPr>
        <w:t xml:space="preserve">. Now that RAN4 confirmed the feasibility, we can add smaller </w:t>
      </w:r>
      <w:r>
        <w:rPr>
          <w:rFonts w:hint="eastAsia" w:eastAsia="宋体"/>
          <w:bCs/>
          <w:i/>
          <w:iCs/>
          <w:sz w:val="20"/>
          <w:szCs w:val="20"/>
          <w:lang w:val="en-US" w:eastAsia="zh-CN"/>
        </w:rPr>
        <w:t>k</w:t>
      </w:r>
      <w:r>
        <w:rPr>
          <w:rFonts w:hint="eastAsia" w:eastAsia="宋体"/>
          <w:bCs/>
          <w:sz w:val="20"/>
          <w:szCs w:val="20"/>
          <w:lang w:val="en-US" w:eastAsia="zh-CN"/>
        </w:rPr>
        <w:t xml:space="preserve"> values for DL/UL timing measurement. Even for non-aggregated PRS measurement, the candidate values may remain the same as the aggregated PRS measurement, i.e., we don</w:t>
      </w:r>
      <w:r>
        <w:rPr>
          <w:rFonts w:hint="default" w:eastAsia="宋体"/>
          <w:bCs/>
          <w:sz w:val="20"/>
          <w:szCs w:val="20"/>
          <w:lang w:val="en-US" w:eastAsia="zh-CN"/>
        </w:rPr>
        <w:t>’</w:t>
      </w:r>
      <w:r>
        <w:rPr>
          <w:rFonts w:hint="eastAsia" w:eastAsia="宋体"/>
          <w:bCs/>
          <w:sz w:val="20"/>
          <w:szCs w:val="20"/>
          <w:lang w:val="en-US" w:eastAsia="zh-CN"/>
        </w:rPr>
        <w:t xml:space="preserve">t have to introduce two different candidate value sets for aggregated PRS measurement and non-aggregated PRS measurement. The specific granularity of time reporting can be determined by the measurement results and UE implementation. </w:t>
      </w:r>
      <w:r>
        <w:rPr>
          <w:rFonts w:hint="eastAsia" w:eastAsia="宋体"/>
          <w:highlight w:val="none"/>
          <w:lang w:val="en-US" w:eastAsia="zh-CN"/>
        </w:rPr>
        <w:t>Hence, we have the following proposal:</w:t>
      </w:r>
    </w:p>
    <w:p>
      <w:pPr>
        <w:widowControl w:val="0"/>
        <w:snapToGrid w:val="0"/>
        <w:spacing w:after="0" w:line="240" w:lineRule="auto"/>
        <w:jc w:val="both"/>
        <w:rPr>
          <w:rFonts w:hint="eastAsia" w:ascii="Times New Roman" w:hAnsi="Times New Roman" w:eastAsiaTheme="minorEastAsia"/>
          <w:b/>
          <w:bCs/>
          <w:i/>
          <w:iCs/>
          <w:sz w:val="20"/>
          <w:szCs w:val="20"/>
          <w:highlight w:val="none"/>
          <w:lang w:val="en-US" w:eastAsia="zh-CN"/>
        </w:rPr>
      </w:pPr>
      <w:bookmarkStart w:id="6" w:name="_Ref31713"/>
      <w:bookmarkStart w:id="7" w:name="_Ref23565"/>
      <w:bookmarkStart w:id="8" w:name="_Ref19934"/>
      <w:bookmarkStart w:id="9" w:name="_Ref10183"/>
      <w:r>
        <w:rPr>
          <w:rFonts w:ascii="Times New Roman" w:hAnsi="Times New Roman"/>
          <w:b/>
          <w:bCs/>
          <w:i/>
          <w:iCs/>
          <w:sz w:val="20"/>
          <w:szCs w:val="20"/>
          <w:highlight w:val="none"/>
        </w:rPr>
        <w:t xml:space="preserve">Proposal </w:t>
      </w:r>
      <w:r>
        <w:rPr>
          <w:rFonts w:ascii="Times New Roman" w:hAnsi="Times New Roman"/>
          <w:b/>
          <w:bCs/>
          <w:i/>
          <w:iCs/>
          <w:sz w:val="20"/>
          <w:szCs w:val="20"/>
          <w:highlight w:val="none"/>
        </w:rPr>
        <w:fldChar w:fldCharType="begin"/>
      </w:r>
      <w:r>
        <w:rPr>
          <w:rFonts w:ascii="Times New Roman" w:hAnsi="Times New Roman"/>
          <w:b/>
          <w:bCs/>
          <w:i/>
          <w:iCs/>
          <w:sz w:val="20"/>
          <w:szCs w:val="20"/>
          <w:highlight w:val="none"/>
        </w:rPr>
        <w:instrText xml:space="preserve"> SEQ Proposal \* ARABIC </w:instrText>
      </w:r>
      <w:r>
        <w:rPr>
          <w:rFonts w:ascii="Times New Roman" w:hAnsi="Times New Roman"/>
          <w:b/>
          <w:bCs/>
          <w:i/>
          <w:iCs/>
          <w:sz w:val="20"/>
          <w:szCs w:val="20"/>
          <w:highlight w:val="none"/>
        </w:rPr>
        <w:fldChar w:fldCharType="separate"/>
      </w:r>
      <w:r>
        <w:rPr>
          <w:rFonts w:ascii="Times New Roman" w:hAnsi="Times New Roman"/>
          <w:b/>
          <w:bCs/>
          <w:i/>
          <w:iCs/>
          <w:sz w:val="20"/>
          <w:szCs w:val="20"/>
          <w:highlight w:val="none"/>
        </w:rPr>
        <w:t>1</w:t>
      </w:r>
      <w:r>
        <w:rPr>
          <w:rFonts w:ascii="Times New Roman" w:hAnsi="Times New Roman"/>
          <w:b/>
          <w:bCs/>
          <w:i/>
          <w:iCs/>
          <w:sz w:val="20"/>
          <w:szCs w:val="20"/>
          <w:highlight w:val="none"/>
        </w:rPr>
        <w:fldChar w:fldCharType="end"/>
      </w:r>
      <w:r>
        <w:rPr>
          <w:rFonts w:ascii="Times New Roman" w:hAnsi="Times New Roman"/>
          <w:b/>
          <w:bCs/>
          <w:i/>
          <w:iCs/>
          <w:sz w:val="20"/>
          <w:szCs w:val="20"/>
          <w:highlight w:val="none"/>
        </w:rPr>
        <w:t xml:space="preserve">: </w:t>
      </w:r>
      <w:bookmarkEnd w:id="6"/>
      <w:bookmarkEnd w:id="7"/>
      <w:bookmarkEnd w:id="8"/>
      <w:r>
        <w:rPr>
          <w:rFonts w:hint="eastAsia" w:ascii="Times New Roman" w:hAnsi="Times New Roman"/>
          <w:b/>
          <w:bCs/>
          <w:i/>
          <w:iCs/>
          <w:sz w:val="20"/>
          <w:szCs w:val="20"/>
          <w:highlight w:val="none"/>
        </w:rPr>
        <w:t>From RAN1</w:t>
      </w:r>
      <w:r>
        <w:rPr>
          <w:rFonts w:hint="default" w:ascii="Times New Roman" w:hAnsi="Times New Roman"/>
          <w:b/>
          <w:bCs/>
          <w:i/>
          <w:iCs/>
          <w:sz w:val="20"/>
          <w:szCs w:val="20"/>
          <w:highlight w:val="none"/>
          <w:lang w:val="en-US" w:eastAsia="zh-CN"/>
        </w:rPr>
        <w:t>’</w:t>
      </w:r>
      <w:r>
        <w:rPr>
          <w:rFonts w:hint="eastAsia" w:ascii="Times New Roman" w:hAnsi="Times New Roman"/>
          <w:b/>
          <w:bCs/>
          <w:i/>
          <w:iCs/>
          <w:sz w:val="20"/>
          <w:szCs w:val="20"/>
          <w:highlight w:val="none"/>
        </w:rPr>
        <w:t>s perspective, the granularity with ReportingGranularityfactor k={-1, -2</w:t>
      </w:r>
      <w:r>
        <w:rPr>
          <w:rFonts w:hint="eastAsia" w:ascii="Times New Roman" w:hAnsi="Times New Roman"/>
          <w:b/>
          <w:bCs/>
          <w:i/>
          <w:iCs/>
          <w:sz w:val="20"/>
          <w:szCs w:val="20"/>
          <w:highlight w:val="none"/>
          <w:lang w:val="en-US" w:eastAsia="zh-CN"/>
        </w:rPr>
        <w:t>,</w:t>
      </w:r>
      <w:r>
        <w:rPr>
          <w:rFonts w:hint="eastAsia" w:ascii="Times New Roman" w:hAnsi="Times New Roman"/>
          <w:b/>
          <w:bCs/>
          <w:i/>
          <w:iCs/>
          <w:sz w:val="20"/>
          <w:szCs w:val="20"/>
          <w:highlight w:val="none"/>
          <w:lang w:eastAsia="zh-CN"/>
        </w:rPr>
        <w:t xml:space="preserve"> -3, -4, -5, -6</w:t>
      </w:r>
      <w:r>
        <w:rPr>
          <w:rFonts w:hint="eastAsia" w:ascii="Times New Roman" w:hAnsi="Times New Roman"/>
          <w:b/>
          <w:bCs/>
          <w:i/>
          <w:iCs/>
          <w:sz w:val="20"/>
          <w:szCs w:val="20"/>
          <w:highlight w:val="none"/>
        </w:rPr>
        <w:t>} for the reporting of DL/UL timing measurements is applicable to all positioning methods</w:t>
      </w:r>
      <w:r>
        <w:rPr>
          <w:rFonts w:hint="eastAsia" w:ascii="Times New Roman" w:hAnsi="Times New Roman"/>
          <w:b/>
          <w:bCs/>
          <w:i/>
          <w:iCs/>
          <w:sz w:val="20"/>
          <w:szCs w:val="20"/>
          <w:highlight w:val="none"/>
          <w:lang w:val="en-US" w:eastAsia="zh-CN"/>
        </w:rPr>
        <w:t>.</w:t>
      </w:r>
      <w:bookmarkEnd w:id="9"/>
    </w:p>
    <w:p>
      <w:pPr>
        <w:pStyle w:val="3"/>
        <w:snapToGrid w:val="0"/>
        <w:spacing w:line="240" w:lineRule="auto"/>
        <w:jc w:val="both"/>
        <w:rPr>
          <w:rFonts w:hint="eastAsia"/>
          <w:sz w:val="24"/>
          <w:szCs w:val="24"/>
          <w:highlight w:val="none"/>
          <w:lang w:val="en-US"/>
        </w:rPr>
      </w:pPr>
      <w:r>
        <w:rPr>
          <w:rFonts w:hint="eastAsia"/>
          <w:sz w:val="24"/>
          <w:szCs w:val="24"/>
          <w:highlight w:val="none"/>
          <w:lang w:val="en-US" w:eastAsia="zh-CN"/>
        </w:rPr>
        <w:t xml:space="preserve">Enhancement on UE-based carrier phase positioning </w:t>
      </w:r>
    </w:p>
    <w:p>
      <w:pPr>
        <w:adjustRightInd w:val="0"/>
        <w:snapToGrid w:val="0"/>
        <w:spacing w:before="180" w:beforeLines="50" w:after="180" w:afterLines="50" w:line="240" w:lineRule="auto"/>
        <w:jc w:val="both"/>
        <w:rPr>
          <w:rFonts w:hint="eastAsia"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 xml:space="preserve">In the last RAN1 meeting, the following proposal was discussed but no consensus reached: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kinsoku/>
              <w:wordWrap/>
              <w:topLinePunct w:val="0"/>
              <w:bidi w:val="0"/>
              <w:adjustRightInd w:val="0"/>
              <w:snapToGrid w:val="0"/>
              <w:spacing w:after="0" w:line="240" w:lineRule="auto"/>
              <w:jc w:val="both"/>
              <w:rPr>
                <w:rFonts w:hint="eastAsia" w:ascii="Times New Roman" w:hAnsi="Times New Roman"/>
                <w:bCs/>
                <w:sz w:val="20"/>
                <w:szCs w:val="20"/>
                <w:lang w:val="en-US" w:eastAsia="zh-CN"/>
              </w:rPr>
            </w:pPr>
            <w:r>
              <w:rPr>
                <w:rFonts w:hint="eastAsia" w:ascii="Times New Roman" w:hAnsi="Times New Roman"/>
                <w:bCs/>
                <w:sz w:val="20"/>
                <w:szCs w:val="20"/>
                <w:lang w:val="en-US" w:eastAsia="zh-CN"/>
              </w:rPr>
              <w:t>Proposal:</w:t>
            </w:r>
          </w:p>
          <w:p>
            <w:pPr>
              <w:keepNext w:val="0"/>
              <w:keepLines w:val="0"/>
              <w:pageBreakBefore w:val="0"/>
              <w:widowControl/>
              <w:kinsoku/>
              <w:wordWrap/>
              <w:topLinePunct w:val="0"/>
              <w:bidi w:val="0"/>
              <w:adjustRightInd w:val="0"/>
              <w:snapToGrid w:val="0"/>
              <w:spacing w:after="0" w:line="240" w:lineRule="auto"/>
              <w:jc w:val="both"/>
              <w:rPr>
                <w:rFonts w:ascii="Times New Roman" w:hAnsi="Times New Roman"/>
                <w:bCs/>
                <w:sz w:val="20"/>
                <w:szCs w:val="20"/>
              </w:rPr>
            </w:pPr>
            <w:r>
              <w:rPr>
                <w:rFonts w:ascii="Times New Roman" w:hAnsi="Times New Roman"/>
                <w:bCs/>
                <w:sz w:val="20"/>
                <w:szCs w:val="20"/>
              </w:rPr>
              <w:t>When LMF forwards the carrier phase measurements reported by a PRU to a target UE for UE-based carrier phase positioning, the following information can be included in the positioning assistance data to the target UE (down-selection):</w:t>
            </w:r>
          </w:p>
          <w:p>
            <w:pPr>
              <w:pStyle w:val="96"/>
              <w:keepNext w:val="0"/>
              <w:keepLines w:val="0"/>
              <w:pageBreakBefore w:val="0"/>
              <w:widowControl/>
              <w:numPr>
                <w:ilvl w:val="0"/>
                <w:numId w:val="12"/>
              </w:numPr>
              <w:kinsoku/>
              <w:wordWrap/>
              <w:topLinePunct w:val="0"/>
              <w:bidi w:val="0"/>
              <w:adjustRightInd w:val="0"/>
              <w:snapToGrid w:val="0"/>
              <w:spacing w:after="0" w:line="240" w:lineRule="auto"/>
              <w:ind w:leftChars="0"/>
              <w:jc w:val="both"/>
              <w:rPr>
                <w:rFonts w:ascii="Times New Roman" w:hAnsi="Times New Roman"/>
                <w:bCs/>
                <w:sz w:val="20"/>
                <w:szCs w:val="20"/>
              </w:rPr>
            </w:pPr>
            <w:r>
              <w:rPr>
                <w:rFonts w:ascii="Times New Roman" w:hAnsi="Times New Roman"/>
                <w:bCs/>
                <w:sz w:val="20"/>
                <w:szCs w:val="20"/>
              </w:rPr>
              <w:t>Option 1: the RF frequency information associated with the PRU carrier phase measurements.</w:t>
            </w:r>
          </w:p>
          <w:p>
            <w:pPr>
              <w:pStyle w:val="96"/>
              <w:keepNext w:val="0"/>
              <w:keepLines w:val="0"/>
              <w:pageBreakBefore w:val="0"/>
              <w:widowControl/>
              <w:numPr>
                <w:ilvl w:val="0"/>
                <w:numId w:val="12"/>
              </w:numPr>
              <w:kinsoku/>
              <w:wordWrap/>
              <w:topLinePunct w:val="0"/>
              <w:bidi w:val="0"/>
              <w:adjustRightInd w:val="0"/>
              <w:snapToGrid w:val="0"/>
              <w:spacing w:after="0" w:line="240" w:lineRule="auto"/>
              <w:ind w:leftChars="0"/>
              <w:jc w:val="both"/>
              <w:rPr>
                <w:sz w:val="20"/>
                <w:szCs w:val="20"/>
                <w:highlight w:val="none"/>
              </w:rPr>
            </w:pPr>
            <w:r>
              <w:rPr>
                <w:rFonts w:ascii="Times New Roman" w:hAnsi="Times New Roman"/>
                <w:bCs/>
                <w:sz w:val="20"/>
                <w:szCs w:val="20"/>
              </w:rPr>
              <w:t>Option 2: the DL PRS configuration information that were provided to the PRU for the carrier phase measurements.</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color w:val="000000"/>
          <w:kern w:val="0"/>
          <w:sz w:val="20"/>
          <w:szCs w:val="20"/>
          <w:lang w:val="en-US" w:eastAsia="zh-CN" w:bidi="ar"/>
        </w:rPr>
      </w:pPr>
      <w:bookmarkStart w:id="10" w:name="_Ref12793"/>
      <w:bookmarkStart w:id="11" w:name="_Ref19938"/>
      <w:r>
        <w:rPr>
          <w:rFonts w:hint="default" w:ascii="Times New Roman" w:hAnsi="Times New Roman" w:eastAsia="宋体" w:cs="Times New Roman"/>
          <w:color w:val="000000"/>
          <w:kern w:val="0"/>
          <w:sz w:val="20"/>
          <w:szCs w:val="20"/>
          <w:lang w:val="en-US" w:eastAsia="zh-CN" w:bidi="ar"/>
        </w:rPr>
        <w:t xml:space="preserve">In </w:t>
      </w:r>
      <w:r>
        <w:rPr>
          <w:rFonts w:hint="eastAsia" w:ascii="Times New Roman" w:hAnsi="Times New Roman" w:eastAsia="宋体" w:cs="Times New Roman"/>
          <w:color w:val="000000"/>
          <w:kern w:val="0"/>
          <w:sz w:val="20"/>
          <w:szCs w:val="20"/>
          <w:lang w:val="en-US" w:eastAsia="zh-CN" w:bidi="ar"/>
        </w:rPr>
        <w:t xml:space="preserve">a </w:t>
      </w:r>
      <w:r>
        <w:rPr>
          <w:rFonts w:hint="default" w:ascii="Times New Roman" w:hAnsi="Times New Roman" w:eastAsia="宋体" w:cs="Times New Roman"/>
          <w:color w:val="000000"/>
          <w:kern w:val="0"/>
          <w:sz w:val="20"/>
          <w:szCs w:val="20"/>
          <w:lang w:val="en-US" w:eastAsia="zh-CN" w:bidi="ar"/>
        </w:rPr>
        <w:t xml:space="preserve">UE-based positioning process, if PRU is involved, the PRU may report its measurement result(s) to LMF and LMF may forward the measurement result(s) to the target UE. And the target UE will calculate the location information based on the measurement results(s) forwarded by LMF and the UE’s own measurement result(s). As shown in </w:t>
      </w:r>
      <w:r>
        <w:rPr>
          <w:rFonts w:hint="default" w:ascii="Times New Roman" w:hAnsi="Times New Roman" w:eastAsia="宋体" w:cs="Times New Roman"/>
          <w:color w:val="000000"/>
          <w:kern w:val="0"/>
          <w:sz w:val="20"/>
          <w:szCs w:val="20"/>
          <w:lang w:val="en-US" w:eastAsia="zh-CN" w:bidi="ar"/>
        </w:rPr>
        <w:fldChar w:fldCharType="begin"/>
      </w:r>
      <w:r>
        <w:rPr>
          <w:rFonts w:hint="default" w:ascii="Times New Roman" w:hAnsi="Times New Roman" w:eastAsia="宋体" w:cs="Times New Roman"/>
          <w:color w:val="000000"/>
          <w:kern w:val="0"/>
          <w:sz w:val="20"/>
          <w:szCs w:val="20"/>
          <w:lang w:val="en-US" w:eastAsia="zh-CN" w:bidi="ar"/>
        </w:rPr>
        <w:instrText xml:space="preserve"> REF _Ref8988 \h </w:instrText>
      </w:r>
      <w:r>
        <w:rPr>
          <w:rFonts w:hint="default" w:ascii="Times New Roman" w:hAnsi="Times New Roman" w:eastAsia="宋体" w:cs="Times New Roman"/>
          <w:color w:val="000000"/>
          <w:kern w:val="0"/>
          <w:sz w:val="20"/>
          <w:szCs w:val="20"/>
          <w:lang w:val="en-US" w:eastAsia="zh-CN" w:bidi="ar"/>
        </w:rPr>
        <w:fldChar w:fldCharType="separate"/>
      </w:r>
      <w:r>
        <w:rPr>
          <w:rFonts w:hint="default" w:ascii="Times New Roman" w:hAnsi="Times New Roman" w:cs="Times New Roman"/>
          <w:sz w:val="20"/>
          <w:szCs w:val="20"/>
        </w:rPr>
        <w:t>Figure 3</w:t>
      </w:r>
      <w:r>
        <w:rPr>
          <w:rFonts w:hint="default" w:ascii="Times New Roman" w:hAnsi="Times New Roman" w:eastAsia="宋体" w:cs="Times New Roman"/>
          <w:color w:val="000000"/>
          <w:kern w:val="0"/>
          <w:sz w:val="20"/>
          <w:szCs w:val="20"/>
          <w:lang w:val="en-US" w:eastAsia="zh-CN" w:bidi="ar"/>
        </w:rPr>
        <w:fldChar w:fldCharType="end"/>
      </w:r>
      <w:r>
        <w:rPr>
          <w:rFonts w:hint="default" w:ascii="Times New Roman" w:hAnsi="Times New Roman" w:eastAsia="宋体" w:cs="Times New Roman"/>
          <w:color w:val="000000"/>
          <w:kern w:val="0"/>
          <w:sz w:val="20"/>
          <w:szCs w:val="20"/>
          <w:lang w:val="en-US" w:eastAsia="zh-CN" w:bidi="ar"/>
        </w:rPr>
        <w:t>, PRU may receive and measure multiple PRS resources in some cases, and UE is not aware of the PRU’s measurement details if the PRS is configured per UE, i.e., the PRS configuration</w:t>
      </w:r>
      <w:r>
        <w:rPr>
          <w:rFonts w:hint="eastAsia" w:ascii="Times New Roman" w:hAnsi="Times New Roman" w:eastAsia="宋体" w:cs="Times New Roman"/>
          <w:color w:val="000000"/>
          <w:kern w:val="0"/>
          <w:sz w:val="20"/>
          <w:szCs w:val="20"/>
          <w:lang w:val="en-US" w:eastAsia="zh-CN" w:bidi="ar"/>
        </w:rPr>
        <w:t>s</w:t>
      </w:r>
      <w:r>
        <w:rPr>
          <w:rFonts w:hint="default" w:ascii="Times New Roman" w:hAnsi="Times New Roman" w:eastAsia="宋体" w:cs="Times New Roman"/>
          <w:color w:val="000000"/>
          <w:kern w:val="0"/>
          <w:sz w:val="20"/>
          <w:szCs w:val="20"/>
          <w:lang w:val="en-US" w:eastAsia="zh-CN" w:bidi="ar"/>
        </w:rPr>
        <w:t xml:space="preserve"> for different UEs are different. In this case, the UE should be aware of the PRS configuration that PRU measured. </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3084195" cy="1286510"/>
            <wp:effectExtent l="0" t="0" r="1905"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3084195" cy="1286510"/>
                    </a:xfrm>
                    <a:prstGeom prst="rect">
                      <a:avLst/>
                    </a:prstGeom>
                    <a:noFill/>
                    <a:ln>
                      <a:noFill/>
                    </a:ln>
                  </pic:spPr>
                </pic:pic>
              </a:graphicData>
            </a:graphic>
          </wp:inline>
        </w:drawing>
      </w:r>
    </w:p>
    <w:p>
      <w:pPr>
        <w:pStyle w:val="13"/>
        <w:widowControl w:val="0"/>
        <w:snapToGrid w:val="0"/>
        <w:spacing w:before="180" w:beforeLines="50" w:after="180" w:afterLines="50"/>
        <w:jc w:val="center"/>
        <w:rPr>
          <w:rFonts w:hint="default" w:ascii="Times New Roman" w:hAnsi="Times New Roman" w:cs="Times New Roman" w:eastAsiaTheme="minorEastAsia"/>
          <w:highlight w:val="none"/>
          <w:lang w:val="en-US" w:eastAsia="zh-CN"/>
        </w:rPr>
      </w:pPr>
      <w:r>
        <w:rPr>
          <w:rFonts w:hint="default" w:ascii="Times New Roman" w:hAnsi="Times New Roman" w:cs="Times New Roman"/>
          <w:b w:val="0"/>
          <w:bCs w:val="0"/>
          <w:highlight w:val="none"/>
        </w:rPr>
        <w:t xml:space="preserve">Figure </w:t>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SEQ Figure \* ARABIC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1</w:t>
      </w:r>
      <w:r>
        <w:rPr>
          <w:rFonts w:hint="default" w:ascii="Times New Roman" w:hAnsi="Times New Roman" w:cs="Times New Roman"/>
          <w:b w:val="0"/>
          <w:bCs w:val="0"/>
          <w:highlight w:val="none"/>
        </w:rPr>
        <w:fldChar w:fldCharType="end"/>
      </w:r>
      <w:r>
        <w:rPr>
          <w:rFonts w:hint="default" w:ascii="Times New Roman" w:hAnsi="Times New Roman" w:cs="Times New Roman"/>
          <w:b w:val="0"/>
          <w:bCs w:val="0"/>
          <w:highlight w:val="none"/>
          <w:lang w:val="en-US" w:eastAsia="zh-CN"/>
        </w:rPr>
        <w:t>. PRU measurement example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xml:space="preserve">In </w:t>
      </w:r>
      <w:r>
        <w:rPr>
          <w:rFonts w:hint="eastAsia" w:ascii="Times New Roman" w:hAnsi="Times New Roman" w:eastAsia="宋体" w:cs="Times New Roman"/>
          <w:color w:val="000000"/>
          <w:kern w:val="0"/>
          <w:sz w:val="20"/>
          <w:szCs w:val="20"/>
          <w:lang w:val="en-US" w:eastAsia="zh-CN" w:bidi="ar"/>
        </w:rPr>
        <w:t xml:space="preserve">the </w:t>
      </w:r>
      <w:r>
        <w:rPr>
          <w:rFonts w:hint="default" w:ascii="Times New Roman" w:hAnsi="Times New Roman" w:eastAsia="宋体" w:cs="Times New Roman"/>
          <w:color w:val="000000"/>
          <w:kern w:val="0"/>
          <w:sz w:val="20"/>
          <w:szCs w:val="20"/>
          <w:lang w:val="en-US" w:eastAsia="zh-CN" w:bidi="ar"/>
        </w:rPr>
        <w:t xml:space="preserve">current specification, a measurement report may contain the measurement result together with the dl-PRS-ID, nr-DL-PRS-ResourceID and nr-DL-PRS-ResourceSetID. </w:t>
      </w:r>
      <w:r>
        <w:rPr>
          <w:rFonts w:hint="eastAsia" w:ascii="Times New Roman" w:hAnsi="Times New Roman" w:eastAsia="宋体" w:cs="Times New Roman"/>
          <w:color w:val="000000"/>
          <w:kern w:val="0"/>
          <w:sz w:val="20"/>
          <w:szCs w:val="20"/>
          <w:lang w:val="en-US" w:eastAsia="zh-CN" w:bidi="ar"/>
        </w:rPr>
        <w:t xml:space="preserve">However, </w:t>
      </w:r>
      <w:r>
        <w:rPr>
          <w:rFonts w:hint="default" w:ascii="Times New Roman" w:hAnsi="Times New Roman" w:eastAsia="宋体" w:cs="Times New Roman"/>
          <w:color w:val="000000"/>
          <w:kern w:val="0"/>
          <w:sz w:val="20"/>
          <w:szCs w:val="20"/>
          <w:lang w:val="en-US" w:eastAsia="zh-CN" w:bidi="ar"/>
        </w:rPr>
        <w:t>in some cases, UE is not aware of the specific PRS configuration of the PRU, and the measurement result(s) reported by the PRU is meaningless as UE doesn’t know the transmission information. Considering the above limitation, the DL PRS configuration of PRU can be sent to the target UE. Therefore, we have the following proposal:</w:t>
      </w:r>
    </w:p>
    <w:p>
      <w:pPr>
        <w:pStyle w:val="13"/>
        <w:keepNext w:val="0"/>
        <w:keepLines w:val="0"/>
        <w:pageBreakBefore w:val="0"/>
        <w:widowControl/>
        <w:kinsoku/>
        <w:wordWrap/>
        <w:overflowPunct/>
        <w:topLinePunct w:val="0"/>
        <w:autoSpaceDE/>
        <w:autoSpaceDN/>
        <w:bidi w:val="0"/>
        <w:adjustRightInd w:val="0"/>
        <w:snapToGrid w:val="0"/>
        <w:spacing w:before="180" w:beforeLines="50" w:after="0"/>
        <w:jc w:val="both"/>
        <w:textAlignment w:val="auto"/>
        <w:rPr>
          <w:rFonts w:hint="eastAsia"/>
          <w:b/>
          <w:bCs/>
          <w:i/>
          <w:iCs/>
          <w:sz w:val="20"/>
          <w:szCs w:val="20"/>
          <w:highlight w:val="none"/>
          <w:lang w:val="en-US" w:eastAsia="zh-CN"/>
        </w:rPr>
      </w:pPr>
      <w:bookmarkStart w:id="12" w:name="_Ref10193"/>
      <w:r>
        <w:rPr>
          <w:i/>
          <w:iCs/>
          <w:highlight w:val="none"/>
        </w:rPr>
        <w:t xml:space="preserve">Proposal </w:t>
      </w:r>
      <w:r>
        <w:rPr>
          <w:i/>
          <w:iCs/>
          <w:highlight w:val="none"/>
        </w:rPr>
        <w:fldChar w:fldCharType="begin"/>
      </w:r>
      <w:r>
        <w:rPr>
          <w:i/>
          <w:iCs/>
          <w:highlight w:val="none"/>
        </w:rPr>
        <w:instrText xml:space="preserve"> SEQ Proposal \* ARABIC </w:instrText>
      </w:r>
      <w:r>
        <w:rPr>
          <w:i/>
          <w:iCs/>
          <w:highlight w:val="none"/>
        </w:rPr>
        <w:fldChar w:fldCharType="separate"/>
      </w:r>
      <w:r>
        <w:rPr>
          <w:i/>
          <w:iCs/>
          <w:highlight w:val="none"/>
        </w:rPr>
        <w:t>2</w:t>
      </w:r>
      <w:r>
        <w:rPr>
          <w:i/>
          <w:iCs/>
          <w:highlight w:val="none"/>
        </w:rPr>
        <w:fldChar w:fldCharType="end"/>
      </w:r>
      <w:r>
        <w:rPr>
          <w:rFonts w:hint="eastAsia" w:ascii="Times New Roman" w:hAnsi="Times New Roman"/>
          <w:b/>
          <w:bCs/>
          <w:i/>
          <w:iCs/>
          <w:sz w:val="20"/>
          <w:szCs w:val="20"/>
          <w:highlight w:val="none"/>
        </w:rPr>
        <w:t>: When LMF forwards the carrier phase measurements reported by a PRU to a target UE for UE-based carrier phase positioning, the following information can be included in the positioning assistance data to the target UE</w:t>
      </w:r>
      <w:r>
        <w:rPr>
          <w:rFonts w:hint="eastAsia" w:ascii="Times New Roman" w:hAnsi="Times New Roman"/>
          <w:b/>
          <w:bCs/>
          <w:i/>
          <w:iCs/>
          <w:sz w:val="20"/>
          <w:szCs w:val="20"/>
          <w:highlight w:val="none"/>
          <w:lang w:val="en-US" w:eastAsia="zh-CN"/>
        </w:rPr>
        <w:t>, s</w:t>
      </w:r>
      <w:r>
        <w:rPr>
          <w:rFonts w:hint="eastAsia" w:ascii="Times New Roman" w:hAnsi="Times New Roman"/>
          <w:b/>
          <w:bCs/>
          <w:i/>
          <w:iCs/>
          <w:sz w:val="20"/>
          <w:szCs w:val="20"/>
          <w:highlight w:val="none"/>
        </w:rPr>
        <w:t xml:space="preserve">upport </w:t>
      </w:r>
      <w:r>
        <w:rPr>
          <w:rFonts w:hint="eastAsia" w:ascii="Times New Roman" w:hAnsi="Times New Roman"/>
          <w:b/>
          <w:bCs/>
          <w:i/>
          <w:iCs/>
          <w:sz w:val="20"/>
          <w:szCs w:val="20"/>
          <w:highlight w:val="none"/>
          <w:lang w:val="en-US" w:eastAsia="zh-CN"/>
        </w:rPr>
        <w:t xml:space="preserve">option </w:t>
      </w:r>
      <w:bookmarkEnd w:id="10"/>
      <w:r>
        <w:rPr>
          <w:rFonts w:hint="eastAsia"/>
          <w:b/>
          <w:bCs/>
          <w:i/>
          <w:iCs/>
          <w:sz w:val="20"/>
          <w:szCs w:val="20"/>
          <w:highlight w:val="none"/>
          <w:lang w:val="en-US" w:eastAsia="zh-CN"/>
        </w:rPr>
        <w:t>2:</w:t>
      </w:r>
      <w:bookmarkEnd w:id="11"/>
      <w:bookmarkEnd w:id="12"/>
    </w:p>
    <w:p>
      <w:pPr>
        <w:keepNext w:val="0"/>
        <w:keepLines w:val="0"/>
        <w:pageBreakBefore w:val="0"/>
        <w:numPr>
          <w:ilvl w:val="0"/>
          <w:numId w:val="10"/>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eastAsiaTheme="minorEastAsia"/>
          <w:b/>
          <w:bCs/>
          <w:i/>
          <w:iCs/>
          <w:sz w:val="20"/>
          <w:szCs w:val="20"/>
          <w:highlight w:val="none"/>
          <w:lang w:val="en-US" w:eastAsia="zh-CN" w:bidi="ar-SA"/>
        </w:rPr>
      </w:pPr>
      <w:r>
        <w:rPr>
          <w:rFonts w:hint="eastAsia" w:ascii="Times New Roman" w:hAnsi="Times New Roman" w:cs="Times New Roman" w:eastAsiaTheme="minorEastAsia"/>
          <w:b/>
          <w:bCs/>
          <w:i/>
          <w:iCs/>
          <w:sz w:val="20"/>
          <w:szCs w:val="20"/>
          <w:highlight w:val="none"/>
          <w:lang w:val="en-GB" w:eastAsia="sv-SE" w:bidi="ar-SA"/>
        </w:rPr>
        <w:t>Option 2: the DL PRS configuration information that were provided to the PRU for the carrier phase measurements.</w:t>
      </w:r>
    </w:p>
    <w:p>
      <w:pPr>
        <w:pStyle w:val="3"/>
        <w:snapToGrid w:val="0"/>
        <w:spacing w:line="240" w:lineRule="auto"/>
        <w:jc w:val="both"/>
        <w:rPr>
          <w:sz w:val="24"/>
          <w:szCs w:val="24"/>
          <w:highlight w:val="none"/>
        </w:rPr>
      </w:pPr>
      <w:r>
        <w:rPr>
          <w:rFonts w:hint="eastAsia"/>
          <w:sz w:val="24"/>
          <w:szCs w:val="24"/>
          <w:highlight w:val="none"/>
          <w:lang w:val="en-US" w:eastAsia="zh-CN"/>
        </w:rPr>
        <w:t>DL PRS resource set indication for bandwidth aggregation</w:t>
      </w:r>
    </w:p>
    <w:p>
      <w:pPr>
        <w:adjustRightInd w:val="0"/>
        <w:snapToGrid w:val="0"/>
        <w:spacing w:before="180" w:beforeLines="50" w:after="180" w:afterLines="50" w:line="240" w:lineRule="auto"/>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In the last RAN1 meeting, it was agreed that the indicated DL PRS resource sets are in one DL PFL, while there</w:t>
      </w:r>
      <w:r>
        <w:rPr>
          <w:rFonts w:hint="default" w:ascii="Times New Roman" w:hAnsi="Times New Roman" w:eastAsia="宋体"/>
          <w:sz w:val="20"/>
          <w:szCs w:val="20"/>
          <w:highlight w:val="none"/>
          <w:lang w:val="en-US" w:eastAsia="zh-CN"/>
        </w:rPr>
        <w:t>’</w:t>
      </w:r>
      <w:r>
        <w:rPr>
          <w:rFonts w:hint="eastAsia" w:ascii="Times New Roman" w:hAnsi="Times New Roman" w:eastAsia="宋体"/>
          <w:sz w:val="20"/>
          <w:szCs w:val="20"/>
          <w:highlight w:val="none"/>
          <w:lang w:val="en-US" w:eastAsia="zh-CN"/>
        </w:rPr>
        <w:t>s an FFS concerning the DL PRS resource set indication for PRS bandwidth aggregation:</w:t>
      </w:r>
    </w:p>
    <w:tbl>
      <w:tblPr>
        <w:tblStyle w:val="28"/>
        <w:tblW w:w="91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9" w:hRule="atLeast"/>
        </w:trPr>
        <w:tc>
          <w:tcPr>
            <w:tcW w:w="9165" w:type="dxa"/>
          </w:tcPr>
          <w:p>
            <w:pPr>
              <w:adjustRightInd w:val="0"/>
              <w:snapToGrid w:val="0"/>
              <w:spacing w:after="0" w:line="240" w:lineRule="auto"/>
              <w:jc w:val="both"/>
              <w:rPr>
                <w:rFonts w:ascii="Times New Roman" w:hAnsi="Times New Roman"/>
                <w:bCs/>
                <w:sz w:val="20"/>
                <w:szCs w:val="20"/>
                <w:highlight w:val="none"/>
              </w:rPr>
            </w:pPr>
            <w:r>
              <w:rPr>
                <w:rFonts w:ascii="Times New Roman" w:hAnsi="Times New Roman"/>
                <w:b/>
                <w:sz w:val="20"/>
                <w:szCs w:val="20"/>
                <w:highlight w:val="none"/>
                <w:u w:val="single"/>
              </w:rPr>
              <w:t>Agreement</w:t>
            </w:r>
          </w:p>
          <w:p>
            <w:pPr>
              <w:keepNext w:val="0"/>
              <w:keepLines w:val="0"/>
              <w:pageBreakBefore w:val="0"/>
              <w:widowControl/>
              <w:kinsoku/>
              <w:wordWrap/>
              <w:topLinePunct w:val="0"/>
              <w:bidi w:val="0"/>
              <w:adjustRightInd w:val="0"/>
              <w:snapToGrid w:val="0"/>
              <w:spacing w:after="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When an LMF requests the UEs, including target UE and PRU(s), to perform measurements on indicated DL PRS resource set(s) occurring within indicated time window(s)</w:t>
            </w:r>
          </w:p>
          <w:p>
            <w:pPr>
              <w:pStyle w:val="96"/>
              <w:keepNext w:val="0"/>
              <w:keepLines w:val="0"/>
              <w:pageBreakBefore w:val="0"/>
              <w:widowControl/>
              <w:numPr>
                <w:ilvl w:val="0"/>
                <w:numId w:val="7"/>
              </w:numPr>
              <w:kinsoku/>
              <w:wordWrap/>
              <w:topLinePunct w:val="0"/>
              <w:bidi w:val="0"/>
              <w:adjustRightInd w:val="0"/>
              <w:snapToGrid w:val="0"/>
              <w:spacing w:after="0" w:line="240" w:lineRule="auto"/>
              <w:ind w:leftChars="0"/>
              <w:rPr>
                <w:rFonts w:hint="default" w:ascii="Times New Roman" w:hAnsi="Times New Roman" w:cs="Times New Roman"/>
                <w:iCs/>
                <w:sz w:val="20"/>
                <w:szCs w:val="20"/>
              </w:rPr>
            </w:pPr>
            <w:r>
              <w:rPr>
                <w:rFonts w:hint="default" w:ascii="Times New Roman" w:hAnsi="Times New Roman" w:cs="Times New Roman"/>
                <w:iCs/>
                <w:sz w:val="20"/>
                <w:szCs w:val="20"/>
              </w:rPr>
              <w:t>The duration of a time window can be configured as follows:</w:t>
            </w:r>
          </w:p>
          <w:p>
            <w:pPr>
              <w:pStyle w:val="96"/>
              <w:keepNext w:val="0"/>
              <w:keepLines w:val="0"/>
              <w:pageBreakBefore w:val="0"/>
              <w:widowControl/>
              <w:numPr>
                <w:ilvl w:val="1"/>
                <w:numId w:val="8"/>
              </w:numPr>
              <w:kinsoku/>
              <w:wordWrap/>
              <w:topLinePunct w:val="0"/>
              <w:bidi w:val="0"/>
              <w:adjustRightInd w:val="0"/>
              <w:snapToGrid w:val="0"/>
              <w:spacing w:after="0" w:line="240" w:lineRule="auto"/>
              <w:ind w:leftChars="0"/>
              <w:contextualSpacing/>
              <w:jc w:val="both"/>
              <w:rPr>
                <w:rFonts w:hint="default" w:ascii="Times New Roman" w:hAnsi="Times New Roman" w:eastAsia="宋体" w:cs="Times New Roman"/>
                <w:bCs/>
                <w:iCs/>
                <w:sz w:val="20"/>
                <w:szCs w:val="20"/>
              </w:rPr>
            </w:pPr>
            <w:r>
              <w:rPr>
                <w:rFonts w:hint="default" w:ascii="Times New Roman" w:hAnsi="Times New Roman" w:eastAsia="等线" w:cs="Times New Roman"/>
                <w:bCs/>
                <w:iCs/>
                <w:snapToGrid w:val="0"/>
                <w:sz w:val="20"/>
                <w:szCs w:val="20"/>
              </w:rPr>
              <w:t>{1, 2, 4, 6, 8, 12, 16} slots.</w:t>
            </w:r>
          </w:p>
          <w:p>
            <w:pPr>
              <w:pStyle w:val="93"/>
              <w:keepNext w:val="0"/>
              <w:keepLines w:val="0"/>
              <w:pageBreakBefore w:val="0"/>
              <w:widowControl/>
              <w:numPr>
                <w:ilvl w:val="0"/>
                <w:numId w:val="8"/>
              </w:numPr>
              <w:kinsoku/>
              <w:wordWrap/>
              <w:topLinePunct w:val="0"/>
              <w:bidi w:val="0"/>
              <w:adjustRightInd w:val="0"/>
              <w:snapToGrid w:val="0"/>
              <w:spacing w:before="0" w:after="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the number of the time windows can be:</w:t>
            </w:r>
          </w:p>
          <w:p>
            <w:pPr>
              <w:pStyle w:val="93"/>
              <w:keepNext w:val="0"/>
              <w:keepLines w:val="0"/>
              <w:pageBreakBefore w:val="0"/>
              <w:widowControl/>
              <w:numPr>
                <w:ilvl w:val="1"/>
                <w:numId w:val="8"/>
              </w:numPr>
              <w:kinsoku/>
              <w:wordWrap/>
              <w:topLinePunct w:val="0"/>
              <w:bidi w:val="0"/>
              <w:adjustRightInd w:val="0"/>
              <w:snapToGrid w:val="0"/>
              <w:spacing w:before="0" w:after="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{1, 2}</w:t>
            </w:r>
          </w:p>
          <w:p>
            <w:pPr>
              <w:pStyle w:val="93"/>
              <w:keepNext w:val="0"/>
              <w:keepLines w:val="0"/>
              <w:pageBreakBefore w:val="0"/>
              <w:widowControl/>
              <w:numPr>
                <w:ilvl w:val="1"/>
                <w:numId w:val="8"/>
              </w:numPr>
              <w:kinsoku/>
              <w:wordWrap/>
              <w:topLinePunct w:val="0"/>
              <w:bidi w:val="0"/>
              <w:adjustRightInd w:val="0"/>
              <w:snapToGrid w:val="0"/>
              <w:spacing w:before="0" w:after="0" w:line="240" w:lineRule="auto"/>
              <w:rPr>
                <w:rFonts w:hint="default" w:ascii="Times New Roman" w:hAnsi="Times New Roman" w:cs="Times New Roman"/>
                <w:iCs/>
                <w:sz w:val="20"/>
                <w:szCs w:val="20"/>
              </w:rPr>
            </w:pPr>
            <w:r>
              <w:rPr>
                <w:rFonts w:hint="default" w:ascii="Times New Roman" w:hAnsi="Times New Roman" w:cs="Times New Roman"/>
                <w:iCs/>
                <w:strike/>
                <w:sz w:val="20"/>
                <w:szCs w:val="20"/>
              </w:rPr>
              <w:t>FFS: {4, 8}</w:t>
            </w:r>
          </w:p>
          <w:p>
            <w:pPr>
              <w:pStyle w:val="93"/>
              <w:keepNext w:val="0"/>
              <w:keepLines w:val="0"/>
              <w:pageBreakBefore w:val="0"/>
              <w:widowControl/>
              <w:numPr>
                <w:ilvl w:val="0"/>
                <w:numId w:val="8"/>
              </w:numPr>
              <w:kinsoku/>
              <w:wordWrap/>
              <w:topLinePunct w:val="0"/>
              <w:bidi w:val="0"/>
              <w:adjustRightInd w:val="0"/>
              <w:snapToGrid w:val="0"/>
              <w:spacing w:before="0" w:after="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the number of the indicated DL PRS resource set(s) per TRP within a time window can be {1, 2}:</w:t>
            </w:r>
          </w:p>
          <w:p>
            <w:pPr>
              <w:pStyle w:val="93"/>
              <w:keepNext w:val="0"/>
              <w:keepLines w:val="0"/>
              <w:pageBreakBefore w:val="0"/>
              <w:widowControl/>
              <w:numPr>
                <w:ilvl w:val="1"/>
                <w:numId w:val="8"/>
              </w:numPr>
              <w:kinsoku/>
              <w:wordWrap/>
              <w:topLinePunct w:val="0"/>
              <w:bidi w:val="0"/>
              <w:adjustRightInd w:val="0"/>
              <w:snapToGrid w:val="0"/>
              <w:spacing w:before="0" w:after="0" w:line="240" w:lineRule="auto"/>
              <w:rPr>
                <w:rFonts w:hint="default" w:ascii="Times New Roman" w:hAnsi="Times New Roman" w:cs="Times New Roman"/>
                <w:sz w:val="20"/>
                <w:szCs w:val="20"/>
                <w:lang w:eastAsia="zh-CN"/>
              </w:rPr>
            </w:pPr>
            <w:r>
              <w:rPr>
                <w:rFonts w:hint="default" w:ascii="Times New Roman" w:hAnsi="Times New Roman" w:cs="Times New Roman"/>
                <w:iCs/>
                <w:sz w:val="20"/>
                <w:szCs w:val="20"/>
              </w:rPr>
              <w:t>DL PRS resource sets across all TRPs are in one DL PFL</w:t>
            </w:r>
          </w:p>
          <w:p>
            <w:pPr>
              <w:pStyle w:val="93"/>
              <w:keepNext w:val="0"/>
              <w:keepLines w:val="0"/>
              <w:pageBreakBefore w:val="0"/>
              <w:widowControl/>
              <w:numPr>
                <w:ilvl w:val="2"/>
                <w:numId w:val="8"/>
              </w:numPr>
              <w:kinsoku/>
              <w:wordWrap/>
              <w:topLinePunct w:val="0"/>
              <w:bidi w:val="0"/>
              <w:adjustRightInd w:val="0"/>
              <w:snapToGrid w:val="0"/>
              <w:spacing w:before="0" w:after="0" w:line="240" w:lineRule="auto"/>
              <w:rPr>
                <w:rFonts w:hint="default" w:ascii="Times New Roman" w:hAnsi="Times New Roman" w:cs="Times New Roman"/>
                <w:sz w:val="20"/>
                <w:szCs w:val="20"/>
                <w:highlight w:val="yellow"/>
                <w:lang w:eastAsia="zh-CN"/>
              </w:rPr>
            </w:pPr>
            <w:r>
              <w:rPr>
                <w:rFonts w:hint="default" w:ascii="Times New Roman" w:hAnsi="Times New Roman" w:cs="Times New Roman"/>
                <w:sz w:val="20"/>
                <w:szCs w:val="20"/>
                <w:highlight w:val="yellow"/>
                <w:lang w:eastAsia="zh-CN"/>
              </w:rPr>
              <w:t xml:space="preserve">FFS: For PRS bandwidth aggregation, an </w:t>
            </w:r>
            <w:r>
              <w:rPr>
                <w:rFonts w:hint="default" w:ascii="Times New Roman" w:hAnsi="Times New Roman" w:cs="Times New Roman"/>
                <w:iCs/>
                <w:sz w:val="20"/>
                <w:szCs w:val="20"/>
                <w:highlight w:val="yellow"/>
              </w:rPr>
              <w:t>indicated DL PRS resource set refers to a combination of linked PRS resource sets</w:t>
            </w:r>
          </w:p>
          <w:p>
            <w:pPr>
              <w:pStyle w:val="93"/>
              <w:keepNext w:val="0"/>
              <w:keepLines w:val="0"/>
              <w:pageBreakBefore w:val="0"/>
              <w:widowControl/>
              <w:numPr>
                <w:ilvl w:val="1"/>
                <w:numId w:val="8"/>
              </w:numPr>
              <w:kinsoku/>
              <w:wordWrap/>
              <w:topLinePunct w:val="0"/>
              <w:bidi w:val="0"/>
              <w:adjustRightInd w:val="0"/>
              <w:snapToGrid w:val="0"/>
              <w:spacing w:before="0"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number of the </w:t>
            </w:r>
            <w:r>
              <w:rPr>
                <w:rFonts w:hint="default" w:ascii="Times New Roman" w:hAnsi="Times New Roman" w:cs="Times New Roman"/>
                <w:iCs/>
                <w:sz w:val="20"/>
                <w:szCs w:val="20"/>
              </w:rPr>
              <w:t>indicated DL PRS resource set(s) for all TRPs should be the same</w:t>
            </w:r>
          </w:p>
          <w:p>
            <w:pPr>
              <w:pStyle w:val="93"/>
              <w:keepNext w:val="0"/>
              <w:keepLines w:val="0"/>
              <w:pageBreakBefore w:val="0"/>
              <w:widowControl/>
              <w:numPr>
                <w:ilvl w:val="0"/>
                <w:numId w:val="8"/>
              </w:numPr>
              <w:kinsoku/>
              <w:wordWrap/>
              <w:topLinePunct w:val="0"/>
              <w:bidi w:val="0"/>
              <w:adjustRightInd w:val="0"/>
              <w:snapToGrid w:val="0"/>
              <w:spacing w:before="0"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Different PRS resource sets and/or PFLs can be associated with different time windows</w:t>
            </w:r>
          </w:p>
          <w:p>
            <w:pPr>
              <w:keepNext w:val="0"/>
              <w:keepLines w:val="0"/>
              <w:pageBreakBefore w:val="0"/>
              <w:widowControl/>
              <w:numPr>
                <w:ilvl w:val="0"/>
                <w:numId w:val="10"/>
              </w:numPr>
              <w:kinsoku/>
              <w:wordWrap/>
              <w:topLinePunct w:val="0"/>
              <w:bidi w:val="0"/>
              <w:adjustRightInd w:val="0"/>
              <w:snapToGrid w:val="0"/>
              <w:spacing w:after="0" w:line="240" w:lineRule="auto"/>
              <w:contextualSpacing/>
              <w:jc w:val="both"/>
              <w:rPr>
                <w:highlight w:val="none"/>
              </w:rPr>
            </w:pPr>
            <w:r>
              <w:rPr>
                <w:rFonts w:hint="default" w:ascii="Times New Roman" w:hAnsi="Times New Roman" w:cs="Times New Roman"/>
                <w:sz w:val="20"/>
                <w:szCs w:val="20"/>
                <w:lang w:eastAsia="zh-CN"/>
              </w:rPr>
              <w:t xml:space="preserve">Note: the signaling design for the indication of the </w:t>
            </w:r>
            <w:r>
              <w:rPr>
                <w:rFonts w:hint="default" w:ascii="Times New Roman" w:hAnsi="Times New Roman" w:cs="Times New Roman"/>
                <w:iCs/>
                <w:sz w:val="20"/>
                <w:szCs w:val="20"/>
              </w:rPr>
              <w:t xml:space="preserve">DL PRS resource sets in the time windows </w:t>
            </w:r>
            <w:r>
              <w:rPr>
                <w:rFonts w:hint="default" w:ascii="Times New Roman" w:hAnsi="Times New Roman" w:cs="Times New Roman"/>
                <w:sz w:val="20"/>
                <w:szCs w:val="20"/>
                <w:lang w:eastAsia="zh-CN"/>
              </w:rPr>
              <w:t>is up to RAN2/RAN3</w:t>
            </w:r>
            <w:r>
              <w:rPr>
                <w:rFonts w:hint="default" w:ascii="Times New Roman" w:hAnsi="Times New Roman" w:cs="Times New Roman"/>
                <w:iCs/>
                <w:sz w:val="20"/>
                <w:szCs w:val="20"/>
              </w:rPr>
              <w:t>.</w:t>
            </w:r>
          </w:p>
        </w:tc>
      </w:tr>
    </w:tbl>
    <w:p>
      <w:pPr>
        <w:adjustRightInd w:val="0"/>
        <w:snapToGrid w:val="0"/>
        <w:spacing w:before="180" w:beforeLines="50" w:after="180" w:afterLines="50" w:line="240" w:lineRule="auto"/>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 xml:space="preserve">The purpose of limiting the indicated DL PRS resource set(s) across all TRP in one DL PFL is to let PRU and UE measure the PRS with the same or similar frequency information. For bandwidth aggregation, the measurement and report are performed with the PRS resources aggregated across from 2 or 3 PFLs, and the indicated DL PRS resource set should refer to a combination of linked PRS resource sets. Furthermore, to maintain the frequency consistency of PRS resources measured by PRU and UE with bandwidth aggregation, the indicated DL PRS resource set from across all TRPs should come from the same aggregated DL PFLs. To be more specific, the number of aggregated PRS resource sets and the aggregated PFLs combination should be the same. With this enhancement, as shown in </w:t>
      </w:r>
      <w:r>
        <w:rPr>
          <w:rFonts w:hint="eastAsia" w:ascii="Times New Roman" w:hAnsi="Times New Roman" w:eastAsia="宋体"/>
          <w:sz w:val="20"/>
          <w:szCs w:val="20"/>
          <w:highlight w:val="none"/>
          <w:lang w:val="en-US" w:eastAsia="zh-CN"/>
        </w:rPr>
        <w:fldChar w:fldCharType="begin"/>
      </w:r>
      <w:r>
        <w:rPr>
          <w:rFonts w:hint="eastAsia" w:ascii="Times New Roman" w:hAnsi="Times New Roman" w:eastAsia="宋体"/>
          <w:sz w:val="20"/>
          <w:szCs w:val="20"/>
          <w:highlight w:val="none"/>
          <w:lang w:val="en-US" w:eastAsia="zh-CN"/>
        </w:rPr>
        <w:instrText xml:space="preserve"> REF _Ref8440 \h </w:instrText>
      </w:r>
      <w:r>
        <w:rPr>
          <w:rFonts w:hint="eastAsia" w:ascii="Times New Roman" w:hAnsi="Times New Roman" w:eastAsia="宋体"/>
          <w:sz w:val="20"/>
          <w:szCs w:val="20"/>
          <w:highlight w:val="none"/>
          <w:lang w:val="en-US" w:eastAsia="zh-CN"/>
        </w:rPr>
        <w:fldChar w:fldCharType="separate"/>
      </w:r>
      <w:r>
        <w:rPr>
          <w:rFonts w:hint="default" w:ascii="Times New Roman" w:hAnsi="Times New Roman" w:eastAsia="宋体"/>
          <w:sz w:val="20"/>
          <w:szCs w:val="20"/>
          <w:highlight w:val="none"/>
          <w:lang w:val="en-US" w:eastAsia="zh-CN"/>
        </w:rPr>
        <w:t>Figure 2</w:t>
      </w:r>
      <w:r>
        <w:rPr>
          <w:rFonts w:hint="eastAsia" w:ascii="Times New Roman" w:hAnsi="Times New Roman" w:eastAsia="宋体"/>
          <w:sz w:val="20"/>
          <w:szCs w:val="20"/>
          <w:highlight w:val="none"/>
          <w:lang w:val="en-US" w:eastAsia="zh-CN"/>
        </w:rPr>
        <w:fldChar w:fldCharType="end"/>
      </w:r>
      <w:r>
        <w:rPr>
          <w:rFonts w:hint="eastAsia" w:ascii="Times New Roman" w:hAnsi="Times New Roman" w:eastAsia="宋体"/>
          <w:sz w:val="20"/>
          <w:szCs w:val="20"/>
          <w:highlight w:val="none"/>
          <w:lang w:val="en-US" w:eastAsia="zh-CN"/>
        </w:rPr>
        <w:t xml:space="preserve">, 8 PRS resource sets in 4 PFLs are configured for TRP 1 and TRP 2. For TRP 1, PRS resource sets 2, 4 and 6 are linked, for TRP 2, PRS resource sets 1, 3 and 5 are linked. In this example, the DL PFLs combination for TRP 1 and TRP 2 are {PFL1, PFL2, PFL3}, and the aggregated PRS resource sets can be indicated in the configured time window(s). </w:t>
      </w:r>
    </w:p>
    <w:p>
      <w:pPr>
        <w:widowControl w:val="0"/>
        <w:adjustRightInd w:val="0"/>
        <w:snapToGrid w:val="0"/>
        <w:spacing w:before="180" w:beforeLines="50" w:after="180" w:afterLines="50" w:line="240" w:lineRule="auto"/>
        <w:jc w:val="center"/>
      </w:pPr>
      <w:r>
        <w:drawing>
          <wp:inline distT="0" distB="0" distL="114300" distR="114300">
            <wp:extent cx="3505200" cy="3046095"/>
            <wp:effectExtent l="0" t="0" r="0" b="190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8"/>
                    <a:stretch>
                      <a:fillRect/>
                    </a:stretch>
                  </pic:blipFill>
                  <pic:spPr>
                    <a:xfrm>
                      <a:off x="0" y="0"/>
                      <a:ext cx="3505200" cy="3046095"/>
                    </a:xfrm>
                    <a:prstGeom prst="rect">
                      <a:avLst/>
                    </a:prstGeom>
                    <a:noFill/>
                    <a:ln>
                      <a:noFill/>
                    </a:ln>
                  </pic:spPr>
                </pic:pic>
              </a:graphicData>
            </a:graphic>
          </wp:inline>
        </w:drawing>
      </w:r>
    </w:p>
    <w:p>
      <w:pPr>
        <w:pStyle w:val="13"/>
        <w:widowControl w:val="0"/>
        <w:snapToGrid w:val="0"/>
        <w:spacing w:before="180" w:beforeLines="50" w:after="180" w:afterLines="50"/>
        <w:jc w:val="center"/>
        <w:rPr>
          <w:rFonts w:hint="default" w:ascii="Times New Roman" w:hAnsi="Times New Roman" w:cs="Times New Roman" w:eastAsiaTheme="minorEastAsia"/>
          <w:highlight w:val="none"/>
          <w:lang w:val="en-US" w:eastAsia="zh-CN"/>
        </w:rPr>
      </w:pPr>
      <w:bookmarkStart w:id="13" w:name="_Ref8440"/>
      <w:r>
        <w:rPr>
          <w:rFonts w:hint="default" w:ascii="Times New Roman" w:hAnsi="Times New Roman" w:cs="Times New Roman"/>
          <w:b w:val="0"/>
          <w:bCs w:val="0"/>
          <w:highlight w:val="none"/>
        </w:rPr>
        <w:t xml:space="preserve">Figure </w:t>
      </w:r>
      <w:r>
        <w:rPr>
          <w:rFonts w:hint="default" w:ascii="Times New Roman" w:hAnsi="Times New Roman" w:cs="Times New Roman"/>
          <w:b w:val="0"/>
          <w:bCs w:val="0"/>
          <w:highlight w:val="none"/>
        </w:rPr>
        <w:fldChar w:fldCharType="begin"/>
      </w:r>
      <w:r>
        <w:rPr>
          <w:rFonts w:hint="default" w:ascii="Times New Roman" w:hAnsi="Times New Roman" w:cs="Times New Roman"/>
          <w:b w:val="0"/>
          <w:bCs w:val="0"/>
          <w:highlight w:val="none"/>
        </w:rPr>
        <w:instrText xml:space="preserve"> SEQ Figure \* ARABIC </w:instrText>
      </w:r>
      <w:r>
        <w:rPr>
          <w:rFonts w:hint="default" w:ascii="Times New Roman" w:hAnsi="Times New Roman" w:cs="Times New Roman"/>
          <w:b w:val="0"/>
          <w:bCs w:val="0"/>
          <w:highlight w:val="none"/>
        </w:rPr>
        <w:fldChar w:fldCharType="separate"/>
      </w:r>
      <w:r>
        <w:rPr>
          <w:rFonts w:hint="default" w:ascii="Times New Roman" w:hAnsi="Times New Roman" w:cs="Times New Roman"/>
          <w:b w:val="0"/>
          <w:bCs w:val="0"/>
          <w:highlight w:val="none"/>
        </w:rPr>
        <w:t>2</w:t>
      </w:r>
      <w:r>
        <w:rPr>
          <w:rFonts w:hint="default" w:ascii="Times New Roman" w:hAnsi="Times New Roman" w:cs="Times New Roman"/>
          <w:b w:val="0"/>
          <w:bCs w:val="0"/>
          <w:highlight w:val="none"/>
        </w:rPr>
        <w:fldChar w:fldCharType="end"/>
      </w:r>
      <w:bookmarkEnd w:id="13"/>
      <w:r>
        <w:rPr>
          <w:rFonts w:hint="default" w:ascii="Times New Roman" w:hAnsi="Times New Roman" w:cs="Times New Roman"/>
          <w:b w:val="0"/>
          <w:bCs w:val="0"/>
          <w:highlight w:val="none"/>
          <w:lang w:val="en-US" w:eastAsia="zh-CN"/>
        </w:rPr>
        <w:t xml:space="preserve">. </w:t>
      </w:r>
      <w:r>
        <w:rPr>
          <w:rFonts w:hint="eastAsia" w:cs="Times New Roman"/>
          <w:b w:val="0"/>
          <w:bCs w:val="0"/>
          <w:highlight w:val="none"/>
          <w:lang w:val="en-US" w:eastAsia="zh-CN"/>
        </w:rPr>
        <w:t>PRS resource set indication example with bandwidth aggregation</w:t>
      </w:r>
    </w:p>
    <w:p>
      <w:pPr>
        <w:adjustRightInd w:val="0"/>
        <w:snapToGrid w:val="0"/>
        <w:spacing w:before="180" w:beforeLines="50" w:after="180" w:afterLines="50" w:line="240" w:lineRule="auto"/>
        <w:jc w:val="both"/>
        <w:rPr>
          <w:rFonts w:hint="eastAsia"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For the configuration of time window(s), we have the following proposal:</w:t>
      </w:r>
    </w:p>
    <w:p>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i/>
          <w:iCs/>
          <w:sz w:val="20"/>
          <w:szCs w:val="20"/>
        </w:rPr>
      </w:pPr>
      <w:bookmarkStart w:id="14" w:name="_Ref10200"/>
      <w:r>
        <w:rPr>
          <w:rFonts w:hint="default" w:ascii="Times New Roman" w:hAnsi="Times New Roman" w:cs="Times New Roman" w:eastAsiaTheme="minorEastAsia"/>
          <w:b/>
          <w:bCs/>
          <w:i/>
          <w:iCs/>
          <w:sz w:val="20"/>
          <w:szCs w:val="20"/>
          <w:highlight w:val="none"/>
          <w:lang w:val="en-GB" w:eastAsia="sv-SE" w:bidi="ar-SA"/>
        </w:rPr>
        <w:t xml:space="preserve">Proposal </w:t>
      </w:r>
      <w:r>
        <w:rPr>
          <w:rFonts w:hint="default" w:ascii="Times New Roman" w:hAnsi="Times New Roman" w:cs="Times New Roman" w:eastAsiaTheme="minorEastAsia"/>
          <w:b/>
          <w:bCs/>
          <w:i/>
          <w:iCs/>
          <w:sz w:val="20"/>
          <w:szCs w:val="20"/>
          <w:highlight w:val="none"/>
          <w:lang w:val="en-GB" w:eastAsia="sv-SE" w:bidi="ar-SA"/>
        </w:rPr>
        <w:fldChar w:fldCharType="begin"/>
      </w:r>
      <w:r>
        <w:rPr>
          <w:rFonts w:hint="default" w:ascii="Times New Roman" w:hAnsi="Times New Roman" w:cs="Times New Roman" w:eastAsiaTheme="minorEastAsia"/>
          <w:b/>
          <w:bCs/>
          <w:i/>
          <w:iCs/>
          <w:sz w:val="20"/>
          <w:szCs w:val="20"/>
          <w:highlight w:val="none"/>
          <w:lang w:val="en-GB" w:eastAsia="sv-SE" w:bidi="ar-SA"/>
        </w:rPr>
        <w:instrText xml:space="preserve"> SEQ Proposal \* ARABIC </w:instrText>
      </w:r>
      <w:r>
        <w:rPr>
          <w:rFonts w:hint="default" w:ascii="Times New Roman" w:hAnsi="Times New Roman" w:cs="Times New Roman" w:eastAsiaTheme="minorEastAsia"/>
          <w:b/>
          <w:bCs/>
          <w:i/>
          <w:iCs/>
          <w:sz w:val="20"/>
          <w:szCs w:val="20"/>
          <w:highlight w:val="none"/>
          <w:lang w:val="en-GB" w:eastAsia="sv-SE" w:bidi="ar-SA"/>
        </w:rPr>
        <w:fldChar w:fldCharType="separate"/>
      </w:r>
      <w:r>
        <w:rPr>
          <w:rFonts w:hint="default" w:ascii="Times New Roman" w:hAnsi="Times New Roman" w:cs="Times New Roman" w:eastAsiaTheme="minorEastAsia"/>
          <w:b/>
          <w:bCs/>
          <w:i/>
          <w:iCs/>
          <w:sz w:val="20"/>
          <w:szCs w:val="20"/>
          <w:highlight w:val="none"/>
          <w:lang w:val="en-GB" w:eastAsia="sv-SE" w:bidi="ar-SA"/>
        </w:rPr>
        <w:t>3</w:t>
      </w:r>
      <w:r>
        <w:rPr>
          <w:rFonts w:hint="default" w:ascii="Times New Roman" w:hAnsi="Times New Roman" w:cs="Times New Roman" w:eastAsiaTheme="minorEastAsia"/>
          <w:b/>
          <w:bCs/>
          <w:i/>
          <w:iCs/>
          <w:sz w:val="20"/>
          <w:szCs w:val="20"/>
          <w:highlight w:val="none"/>
          <w:lang w:val="en-GB" w:eastAsia="sv-SE" w:bidi="ar-SA"/>
        </w:rPr>
        <w:fldChar w:fldCharType="end"/>
      </w:r>
      <w:r>
        <w:rPr>
          <w:rFonts w:hint="default" w:ascii="Times New Roman" w:hAnsi="Times New Roman" w:cs="Times New Roman" w:eastAsiaTheme="minorEastAsia"/>
          <w:b/>
          <w:bCs/>
          <w:i/>
          <w:iCs/>
          <w:sz w:val="20"/>
          <w:szCs w:val="20"/>
          <w:highlight w:val="none"/>
          <w:lang w:val="en-GB" w:eastAsia="sv-SE" w:bidi="ar-SA"/>
        </w:rPr>
        <w:t xml:space="preserve">: </w:t>
      </w:r>
      <w:r>
        <w:rPr>
          <w:rFonts w:hint="default" w:ascii="Times New Roman" w:hAnsi="Times New Roman" w:cs="Times New Roman"/>
          <w:b/>
          <w:bCs/>
          <w:i/>
          <w:iCs/>
          <w:sz w:val="20"/>
          <w:szCs w:val="20"/>
        </w:rPr>
        <w:t>When an LMF requests the UEs, including target UE and PRU(s), to perform measurements on indicated DL PRS resource set(s) occurring within indicated time window(s)</w:t>
      </w:r>
      <w:bookmarkEnd w:id="14"/>
    </w:p>
    <w:p>
      <w:pPr>
        <w:pStyle w:val="93"/>
        <w:keepNext w:val="0"/>
        <w:keepLines w:val="0"/>
        <w:pageBreakBefore w:val="0"/>
        <w:widowControl/>
        <w:numPr>
          <w:ilvl w:val="1"/>
          <w:numId w:val="8"/>
        </w:numPr>
        <w:kinsoku/>
        <w:wordWrap/>
        <w:overflowPunct/>
        <w:topLinePunct w:val="0"/>
        <w:autoSpaceDE/>
        <w:autoSpaceDN/>
        <w:bidi w:val="0"/>
        <w:adjustRightInd w:val="0"/>
        <w:snapToGrid w:val="0"/>
        <w:spacing w:before="0" w:after="0" w:line="240" w:lineRule="auto"/>
        <w:textAlignment w:val="auto"/>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rPr>
        <w:t>DL PRS resource sets across all TRPs are in one DL PFL</w:t>
      </w:r>
    </w:p>
    <w:p>
      <w:pPr>
        <w:pStyle w:val="93"/>
        <w:keepNext w:val="0"/>
        <w:keepLines w:val="0"/>
        <w:pageBreakBefore w:val="0"/>
        <w:widowControl/>
        <w:numPr>
          <w:ilvl w:val="2"/>
          <w:numId w:val="8"/>
        </w:numPr>
        <w:kinsoku/>
        <w:wordWrap/>
        <w:overflowPunct/>
        <w:topLinePunct w:val="0"/>
        <w:autoSpaceDE/>
        <w:autoSpaceDN/>
        <w:bidi w:val="0"/>
        <w:adjustRightInd w:val="0"/>
        <w:snapToGrid w:val="0"/>
        <w:spacing w:before="0" w:after="0" w:line="240" w:lineRule="auto"/>
        <w:textAlignment w:val="auto"/>
        <w:rPr>
          <w:rFonts w:hint="default" w:ascii="Times New Roman" w:hAnsi="Times New Roman" w:cs="Times New Roman"/>
          <w:b/>
          <w:bCs/>
          <w:i/>
          <w:iCs/>
          <w:sz w:val="20"/>
          <w:szCs w:val="20"/>
          <w:highlight w:val="none"/>
          <w:lang w:eastAsia="zh-CN"/>
        </w:rPr>
      </w:pPr>
      <w:r>
        <w:rPr>
          <w:rFonts w:hint="default" w:ascii="Times New Roman" w:hAnsi="Times New Roman" w:cs="Times New Roman"/>
          <w:b/>
          <w:bCs/>
          <w:i/>
          <w:iCs/>
          <w:sz w:val="20"/>
          <w:szCs w:val="20"/>
          <w:highlight w:val="none"/>
          <w:lang w:eastAsia="zh-CN"/>
        </w:rPr>
        <w:t xml:space="preserve">For PRS bandwidth aggregation, an </w:t>
      </w:r>
      <w:r>
        <w:rPr>
          <w:rFonts w:hint="default" w:ascii="Times New Roman" w:hAnsi="Times New Roman" w:cs="Times New Roman"/>
          <w:b/>
          <w:bCs/>
          <w:i/>
          <w:iCs/>
          <w:sz w:val="20"/>
          <w:szCs w:val="20"/>
          <w:highlight w:val="none"/>
        </w:rPr>
        <w:t>indicated DL PRS resource set refers to a combination of linked PRS resource sets</w:t>
      </w:r>
      <w:r>
        <w:rPr>
          <w:rFonts w:hint="eastAsia" w:ascii="Times New Roman" w:hAnsi="Times New Roman" w:cs="Times New Roman"/>
          <w:b/>
          <w:bCs/>
          <w:i/>
          <w:iCs/>
          <w:sz w:val="20"/>
          <w:szCs w:val="20"/>
          <w:highlight w:val="none"/>
          <w:lang w:val="en-US" w:eastAsia="zh-CN"/>
        </w:rPr>
        <w:t xml:space="preserve"> which includes the indicated DL PRS resource set</w:t>
      </w:r>
      <w:r>
        <w:rPr>
          <w:rFonts w:hint="default" w:ascii="Times New Roman" w:hAnsi="Times New Roman" w:cs="Times New Roman"/>
          <w:b/>
          <w:bCs/>
          <w:i/>
          <w:iCs/>
          <w:sz w:val="20"/>
          <w:szCs w:val="20"/>
          <w:highlight w:val="none"/>
          <w:lang w:val="en-US" w:eastAsia="zh-CN"/>
        </w:rPr>
        <w:t>, and the linked PRS resource sets of each TRP are in the same DL PFLs combination.</w:t>
      </w:r>
    </w:p>
    <w:p>
      <w:pPr>
        <w:pStyle w:val="3"/>
        <w:snapToGrid w:val="0"/>
        <w:spacing w:line="240" w:lineRule="auto"/>
        <w:jc w:val="both"/>
        <w:rPr>
          <w:sz w:val="24"/>
          <w:szCs w:val="24"/>
          <w:highlight w:val="none"/>
        </w:rPr>
      </w:pPr>
      <w:r>
        <w:rPr>
          <w:rFonts w:hint="eastAsia"/>
          <w:sz w:val="24"/>
          <w:szCs w:val="24"/>
          <w:highlight w:val="none"/>
          <w:lang w:val="en-US" w:eastAsia="zh-CN"/>
        </w:rPr>
        <w:t xml:space="preserve">Phase quality indication for RSCP/RSCPD measurement </w:t>
      </w:r>
    </w:p>
    <w:p>
      <w:pPr>
        <w:adjustRightInd w:val="0"/>
        <w:snapToGrid w:val="0"/>
        <w:spacing w:before="180" w:beforeLines="50" w:after="180" w:afterLines="50" w:line="240" w:lineRule="auto"/>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In RAN1#114 meeting, RAN1 agreed to support UE/TRP report the phase quality indication for carrier phase, wherein the details on phase quality indication are up to RAN4:</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kinsoku/>
              <w:wordWrap/>
              <w:topLinePunct w:val="0"/>
              <w:bidi w:val="0"/>
              <w:adjustRightInd w:val="0"/>
              <w:snapToGrid w:val="0"/>
              <w:spacing w:after="0" w:line="240" w:lineRule="auto"/>
              <w:rPr>
                <w:rFonts w:ascii="Times New Roman" w:hAnsi="Times New Roman"/>
                <w:sz w:val="20"/>
                <w:szCs w:val="20"/>
                <w:lang w:eastAsia="zh-CN"/>
              </w:rPr>
            </w:pPr>
            <w:r>
              <w:rPr>
                <w:rFonts w:ascii="Times New Roman" w:hAnsi="Times New Roman"/>
                <w:sz w:val="20"/>
                <w:szCs w:val="20"/>
                <w:highlight w:val="green"/>
                <w:lang w:eastAsia="zh-CN"/>
              </w:rPr>
              <w:t>Agreement</w:t>
            </w:r>
          </w:p>
          <w:p>
            <w:pPr>
              <w:keepNext w:val="0"/>
              <w:keepLines w:val="0"/>
              <w:pageBreakBefore w:val="0"/>
              <w:widowControl/>
              <w:kinsoku/>
              <w:wordWrap/>
              <w:topLinePunct w:val="0"/>
              <w:bidi w:val="0"/>
              <w:adjustRightInd w:val="0"/>
              <w:snapToGrid w:val="0"/>
              <w:spacing w:after="0" w:line="240" w:lineRule="auto"/>
              <w:contextualSpacing/>
              <w:rPr>
                <w:rFonts w:ascii="Times New Roman" w:hAnsi="Times New Roman"/>
                <w:sz w:val="20"/>
                <w:szCs w:val="20"/>
              </w:rPr>
            </w:pPr>
            <w:r>
              <w:rPr>
                <w:rFonts w:ascii="Times New Roman" w:hAnsi="Times New Roman"/>
                <w:sz w:val="20"/>
                <w:szCs w:val="20"/>
              </w:rPr>
              <w:t>Support UE/TRP to report the phase quality indication for the RSCP/RSCPD measurements. The phase quality indication includes the following fields:</w:t>
            </w:r>
          </w:p>
          <w:p>
            <w:pPr>
              <w:pStyle w:val="96"/>
              <w:keepNext w:val="0"/>
              <w:keepLines w:val="0"/>
              <w:pageBreakBefore w:val="0"/>
              <w:widowControl/>
              <w:numPr>
                <w:ilvl w:val="0"/>
                <w:numId w:val="5"/>
              </w:numPr>
              <w:kinsoku/>
              <w:wordWrap/>
              <w:topLinePunct w:val="0"/>
              <w:bidi w:val="0"/>
              <w:adjustRightInd w:val="0"/>
              <w:snapToGrid w:val="0"/>
              <w:spacing w:after="0" w:line="240" w:lineRule="auto"/>
              <w:ind w:leftChars="0"/>
              <w:contextualSpacing/>
              <w:rPr>
                <w:rFonts w:ascii="Times New Roman" w:hAnsi="Times New Roman"/>
                <w:sz w:val="20"/>
                <w:szCs w:val="20"/>
                <w:lang w:val="en-CA"/>
              </w:rPr>
            </w:pPr>
            <w:r>
              <w:rPr>
                <w:rFonts w:ascii="Times New Roman" w:hAnsi="Times New Roman"/>
                <w:sz w:val="20"/>
                <w:szCs w:val="20"/>
                <w:lang w:val="en-CA"/>
              </w:rPr>
              <w:t>phase quality index</w:t>
            </w:r>
          </w:p>
          <w:p>
            <w:pPr>
              <w:pStyle w:val="96"/>
              <w:keepNext w:val="0"/>
              <w:keepLines w:val="0"/>
              <w:pageBreakBefore w:val="0"/>
              <w:widowControl/>
              <w:numPr>
                <w:ilvl w:val="0"/>
                <w:numId w:val="6"/>
              </w:numPr>
              <w:kinsoku/>
              <w:wordWrap/>
              <w:topLinePunct w:val="0"/>
              <w:bidi w:val="0"/>
              <w:adjustRightInd w:val="0"/>
              <w:snapToGrid w:val="0"/>
              <w:spacing w:after="0" w:line="240" w:lineRule="auto"/>
              <w:ind w:leftChars="0"/>
              <w:contextualSpacing/>
              <w:rPr>
                <w:rFonts w:ascii="Times New Roman" w:hAnsi="Times New Roman"/>
                <w:sz w:val="20"/>
                <w:szCs w:val="20"/>
                <w:lang w:val="en-CA"/>
              </w:rPr>
            </w:pPr>
            <w:r>
              <w:rPr>
                <w:rFonts w:ascii="Times New Roman" w:hAnsi="Times New Roman"/>
                <w:sz w:val="20"/>
                <w:szCs w:val="20"/>
                <w:lang w:val="en-CA"/>
              </w:rPr>
              <w:t>phase quality resolution</w:t>
            </w:r>
          </w:p>
          <w:p>
            <w:pPr>
              <w:keepNext w:val="0"/>
              <w:keepLines w:val="0"/>
              <w:pageBreakBefore w:val="0"/>
              <w:widowControl/>
              <w:kinsoku/>
              <w:wordWrap/>
              <w:topLinePunct w:val="0"/>
              <w:bidi w:val="0"/>
              <w:adjustRightInd w:val="0"/>
              <w:snapToGrid w:val="0"/>
              <w:spacing w:after="0" w:line="240" w:lineRule="auto"/>
              <w:rPr>
                <w:sz w:val="20"/>
                <w:highlight w:val="none"/>
              </w:rPr>
            </w:pPr>
            <w:r>
              <w:rPr>
                <w:rFonts w:ascii="Times New Roman" w:hAnsi="Times New Roman"/>
                <w:sz w:val="20"/>
                <w:szCs w:val="20"/>
                <w:lang w:val="en-CA"/>
              </w:rPr>
              <w:t>The values of the phase quality index and phase quality resolution are left for RAN4.</w:t>
            </w:r>
          </w:p>
        </w:tc>
      </w:tr>
    </w:tbl>
    <w:p>
      <w:pPr>
        <w:adjustRightInd w:val="0"/>
        <w:snapToGrid w:val="0"/>
        <w:spacing w:before="180" w:beforeLines="50" w:after="180" w:afterLines="50" w:line="240" w:lineRule="auto"/>
        <w:jc w:val="both"/>
        <w:rPr>
          <w:rFonts w:hint="eastAsia"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However, in this meeting, RAN4 sent an LS[4] to RAN1, RAN2 and RAN3 concerning positioning-related agreements. For CPP, RAN4 discussed the phase quality indication problem and made an agreement saying that the phase quality indication should be decided by RAN1:</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kinsoku/>
              <w:wordWrap/>
              <w:topLinePunct w:val="0"/>
              <w:bidi w:val="0"/>
              <w:adjustRightInd w:val="0"/>
              <w:snapToGrid w:val="0"/>
              <w:spacing w:after="0" w:line="240" w:lineRule="auto"/>
              <w:jc w:val="both"/>
              <w:rPr>
                <w:rFonts w:hint="eastAsia"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 xml:space="preserve">For CPP, RAN4 discussed the phase quality indication in this meeting and has the following agreements: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96"/>
                    <w:keepNext w:val="0"/>
                    <w:keepLines w:val="0"/>
                    <w:pageBreakBefore w:val="0"/>
                    <w:widowControl/>
                    <w:numPr>
                      <w:ilvl w:val="0"/>
                      <w:numId w:val="13"/>
                    </w:numPr>
                    <w:kinsoku/>
                    <w:wordWrap/>
                    <w:topLinePunct w:val="0"/>
                    <w:bidi w:val="0"/>
                    <w:adjustRightInd w:val="0"/>
                    <w:snapToGrid w:val="0"/>
                    <w:spacing w:after="0" w:line="240" w:lineRule="auto"/>
                    <w:ind w:firstLineChars="0"/>
                    <w:rPr>
                      <w:sz w:val="20"/>
                      <w:szCs w:val="20"/>
                    </w:rPr>
                  </w:pPr>
                  <w:r>
                    <w:rPr>
                      <w:sz w:val="20"/>
                      <w:szCs w:val="20"/>
                    </w:rPr>
                    <w:t>Phase quality indication is not supposed to be decided by RAN4.</w:t>
                  </w:r>
                </w:p>
                <w:p>
                  <w:pPr>
                    <w:pStyle w:val="96"/>
                    <w:keepNext w:val="0"/>
                    <w:keepLines w:val="0"/>
                    <w:pageBreakBefore w:val="0"/>
                    <w:widowControl/>
                    <w:numPr>
                      <w:ilvl w:val="0"/>
                      <w:numId w:val="13"/>
                    </w:numPr>
                    <w:kinsoku/>
                    <w:wordWrap/>
                    <w:topLinePunct w:val="0"/>
                    <w:bidi w:val="0"/>
                    <w:adjustRightInd w:val="0"/>
                    <w:snapToGrid w:val="0"/>
                    <w:spacing w:after="0" w:line="240" w:lineRule="auto"/>
                    <w:ind w:firstLineChars="0"/>
                    <w:rPr>
                      <w:sz w:val="20"/>
                      <w:szCs w:val="20"/>
                    </w:rPr>
                  </w:pPr>
                  <w:r>
                    <w:rPr>
                      <w:sz w:val="20"/>
                      <w:szCs w:val="20"/>
                    </w:rPr>
                    <w:t xml:space="preserve">RAN4 understanding is that the phase quality indication should be decided by RAN1 and the corresponding signaling should be developed by RAN2 based on RAN1 input. </w:t>
                  </w:r>
                </w:p>
              </w:tc>
            </w:tr>
          </w:tbl>
          <w:p>
            <w:pPr>
              <w:keepNext w:val="0"/>
              <w:keepLines w:val="0"/>
              <w:pageBreakBefore w:val="0"/>
              <w:widowControl/>
              <w:kinsoku/>
              <w:wordWrap/>
              <w:topLinePunct w:val="0"/>
              <w:bidi w:val="0"/>
              <w:adjustRightInd w:val="0"/>
              <w:snapToGrid w:val="0"/>
              <w:spacing w:after="0" w:line="240" w:lineRule="auto"/>
              <w:rPr>
                <w:sz w:val="20"/>
                <w:highlight w:val="none"/>
              </w:rPr>
            </w:pPr>
          </w:p>
        </w:tc>
      </w:tr>
    </w:tbl>
    <w:p>
      <w:pPr>
        <w:adjustRightInd w:val="0"/>
        <w:snapToGrid w:val="0"/>
        <w:spacing w:before="180" w:beforeLines="50" w:after="180" w:afterLines="50" w:line="240" w:lineRule="auto"/>
        <w:jc w:val="both"/>
        <w:rPr>
          <w:rFonts w:hint="eastAsia"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From RAN1</w:t>
      </w:r>
      <w:r>
        <w:rPr>
          <w:rFonts w:hint="default" w:ascii="Times New Roman" w:hAnsi="Times New Roman" w:eastAsia="宋体"/>
          <w:sz w:val="20"/>
          <w:szCs w:val="20"/>
          <w:highlight w:val="none"/>
          <w:lang w:val="en-US" w:eastAsia="zh-CN"/>
        </w:rPr>
        <w:t>’</w:t>
      </w:r>
      <w:r>
        <w:rPr>
          <w:rFonts w:hint="eastAsia" w:ascii="Times New Roman" w:hAnsi="Times New Roman" w:eastAsia="宋体"/>
          <w:sz w:val="20"/>
          <w:szCs w:val="20"/>
          <w:highlight w:val="none"/>
          <w:lang w:val="en-US" w:eastAsia="zh-CN"/>
        </w:rPr>
        <w:t>s perspective, the phase quality index provides an estimate of the uncertainty of the phase value, for which the phase quality indication is provided in units of degrees. The phase quality index and resolution can be defined similarly to the angle measurement quality in current TS 38.455:</w:t>
      </w:r>
    </w:p>
    <w:tbl>
      <w:tblPr>
        <w:tblStyle w:val="27"/>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62"/>
              <w:keepNext w:val="0"/>
              <w:keepLines w:val="0"/>
              <w:pageBreakBefore w:val="0"/>
              <w:widowControl w:val="0"/>
              <w:kinsoku/>
              <w:wordWrap/>
              <w:overflowPunct/>
              <w:topLinePunct w:val="0"/>
              <w:autoSpaceDE/>
              <w:autoSpaceDN/>
              <w:bidi w:val="0"/>
              <w:adjustRightInd w:val="0"/>
              <w:snapToGrid w:val="0"/>
              <w:spacing w:line="240" w:lineRule="auto"/>
              <w:textAlignment w:val="auto"/>
            </w:pPr>
            <w:r>
              <w:t>IE/Group Name</w:t>
            </w:r>
          </w:p>
        </w:tc>
        <w:tc>
          <w:tcPr>
            <w:tcW w:w="1080" w:type="dxa"/>
          </w:tcPr>
          <w:p>
            <w:pPr>
              <w:pStyle w:val="62"/>
              <w:keepNext w:val="0"/>
              <w:keepLines w:val="0"/>
              <w:pageBreakBefore w:val="0"/>
              <w:widowControl w:val="0"/>
              <w:kinsoku/>
              <w:wordWrap/>
              <w:overflowPunct/>
              <w:topLinePunct w:val="0"/>
              <w:autoSpaceDE/>
              <w:autoSpaceDN/>
              <w:bidi w:val="0"/>
              <w:adjustRightInd w:val="0"/>
              <w:snapToGrid w:val="0"/>
              <w:spacing w:line="240" w:lineRule="auto"/>
              <w:textAlignment w:val="auto"/>
            </w:pPr>
            <w:r>
              <w:t>Presence</w:t>
            </w:r>
          </w:p>
        </w:tc>
        <w:tc>
          <w:tcPr>
            <w:tcW w:w="1440" w:type="dxa"/>
          </w:tcPr>
          <w:p>
            <w:pPr>
              <w:pStyle w:val="62"/>
              <w:keepNext w:val="0"/>
              <w:keepLines w:val="0"/>
              <w:pageBreakBefore w:val="0"/>
              <w:widowControl w:val="0"/>
              <w:kinsoku/>
              <w:wordWrap/>
              <w:overflowPunct/>
              <w:topLinePunct w:val="0"/>
              <w:autoSpaceDE/>
              <w:autoSpaceDN/>
              <w:bidi w:val="0"/>
              <w:adjustRightInd w:val="0"/>
              <w:snapToGrid w:val="0"/>
              <w:spacing w:line="240" w:lineRule="auto"/>
              <w:textAlignment w:val="auto"/>
            </w:pPr>
            <w:r>
              <w:t>Range</w:t>
            </w:r>
          </w:p>
        </w:tc>
        <w:tc>
          <w:tcPr>
            <w:tcW w:w="1872" w:type="dxa"/>
          </w:tcPr>
          <w:p>
            <w:pPr>
              <w:pStyle w:val="62"/>
              <w:keepNext w:val="0"/>
              <w:keepLines w:val="0"/>
              <w:pageBreakBefore w:val="0"/>
              <w:widowControl w:val="0"/>
              <w:kinsoku/>
              <w:wordWrap/>
              <w:overflowPunct/>
              <w:topLinePunct w:val="0"/>
              <w:autoSpaceDE/>
              <w:autoSpaceDN/>
              <w:bidi w:val="0"/>
              <w:adjustRightInd w:val="0"/>
              <w:snapToGrid w:val="0"/>
              <w:spacing w:line="240" w:lineRule="auto"/>
              <w:textAlignment w:val="auto"/>
            </w:pPr>
            <w:r>
              <w:t>IE Type and Reference</w:t>
            </w:r>
          </w:p>
        </w:tc>
        <w:tc>
          <w:tcPr>
            <w:tcW w:w="2405" w:type="dxa"/>
          </w:tcPr>
          <w:p>
            <w:pPr>
              <w:pStyle w:val="62"/>
              <w:keepNext w:val="0"/>
              <w:keepLines w:val="0"/>
              <w:pageBreakBefore w:val="0"/>
              <w:widowControl w:val="0"/>
              <w:kinsoku/>
              <w:wordWrap/>
              <w:overflowPunct/>
              <w:topLinePunct w:val="0"/>
              <w:autoSpaceDE/>
              <w:autoSpaceDN/>
              <w:bidi w:val="0"/>
              <w:adjustRightInd w:val="0"/>
              <w:snapToGrid w:val="0"/>
              <w:spacing w:line="240" w:lineRule="auto"/>
              <w:textAlignment w:val="auto"/>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ind w:left="142"/>
              <w:textAlignment w:val="auto"/>
            </w:pPr>
            <w:r>
              <w:t>&gt;Angle Measurement Quality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p>
        </w:tc>
        <w:tc>
          <w:tcPr>
            <w:tcW w:w="2405"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ind w:left="283"/>
              <w:textAlignment w:val="auto"/>
              <w:rPr>
                <w:lang w:eastAsia="zh-CN"/>
              </w:rPr>
            </w:pPr>
            <w:r>
              <w:rPr>
                <w:lang w:eastAsia="zh-CN"/>
              </w:rPr>
              <w:t>&gt;&gt;Azimuth Quality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r>
              <w:t>INTEGER(0..255)</w:t>
            </w:r>
          </w:p>
        </w:tc>
        <w:tc>
          <w:tcPr>
            <w:tcW w:w="2405"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ind w:left="283"/>
              <w:textAlignment w:val="auto"/>
              <w:rPr>
                <w:lang w:eastAsia="zh-CN"/>
              </w:rPr>
            </w:pPr>
            <w:r>
              <w:rPr>
                <w:lang w:eastAsia="zh-CN"/>
              </w:rPr>
              <w:t>&gt;&gt;Zenith Quality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r>
              <w:t>O</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pPr>
            <w:r>
              <w:t>INTEGER(0..255)</w:t>
            </w:r>
          </w:p>
        </w:tc>
        <w:tc>
          <w:tcPr>
            <w:tcW w:w="2405"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ind w:left="283"/>
              <w:textAlignment w:val="auto"/>
              <w:rPr>
                <w:lang w:eastAsia="zh-CN"/>
              </w:rPr>
            </w:pPr>
            <w:r>
              <w:rPr>
                <w:lang w:eastAsia="zh-CN"/>
              </w:rPr>
              <w:t>&gt;&gt;Resolution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rPr>
                <w:lang w:eastAsia="zh-CN"/>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rPr>
                <w:lang w:eastAsia="zh-CN"/>
              </w:rPr>
            </w:pPr>
            <w:r>
              <w:rPr>
                <w:lang w:eastAsia="zh-CN"/>
              </w:rPr>
              <w:t>ENUMERATED (0.1deg, …)</w:t>
            </w:r>
          </w:p>
        </w:tc>
        <w:tc>
          <w:tcPr>
            <w:tcW w:w="2405" w:type="dxa"/>
            <w:tcBorders>
              <w:top w:val="single" w:color="auto" w:sz="4" w:space="0"/>
              <w:left w:val="single" w:color="auto" w:sz="4" w:space="0"/>
              <w:bottom w:val="single" w:color="auto" w:sz="4" w:space="0"/>
              <w:right w:val="single" w:color="auto" w:sz="4" w:space="0"/>
            </w:tcBorders>
          </w:tcPr>
          <w:p>
            <w:pPr>
              <w:pStyle w:val="64"/>
              <w:keepNext w:val="0"/>
              <w:keepLines w:val="0"/>
              <w:pageBreakBefore w:val="0"/>
              <w:widowControl w:val="0"/>
              <w:kinsoku/>
              <w:wordWrap/>
              <w:overflowPunct/>
              <w:topLinePunct w:val="0"/>
              <w:autoSpaceDE/>
              <w:autoSpaceDN/>
              <w:bidi w:val="0"/>
              <w:adjustRightInd w:val="0"/>
              <w:snapToGrid w:val="0"/>
              <w:spacing w:line="240" w:lineRule="auto"/>
              <w:textAlignment w:val="auto"/>
              <w:rPr>
                <w:highlight w:val="yellow"/>
              </w:rPr>
            </w:pPr>
          </w:p>
        </w:tc>
      </w:tr>
    </w:tbl>
    <w:p>
      <w:pPr>
        <w:pStyle w:val="93"/>
        <w:keepNext w:val="0"/>
        <w:keepLines w:val="0"/>
        <w:pageBreakBefore w:val="0"/>
        <w:widowControl/>
        <w:numPr>
          <w:ilvl w:val="0"/>
          <w:numId w:val="0"/>
        </w:numPr>
        <w:kinsoku/>
        <w:wordWrap/>
        <w:overflowPunct/>
        <w:topLinePunct w:val="0"/>
        <w:autoSpaceDE/>
        <w:autoSpaceDN/>
        <w:bidi w:val="0"/>
        <w:adjustRightInd w:val="0"/>
        <w:snapToGrid w:val="0"/>
        <w:spacing w:before="0" w:after="0" w:line="240" w:lineRule="auto"/>
        <w:jc w:val="both"/>
        <w:textAlignment w:val="auto"/>
        <w:rPr>
          <w:rFonts w:hint="eastAsia" w:ascii="Times New Roman" w:hAnsi="Times New Roman" w:eastAsia="宋体" w:cs="Times New Roman"/>
          <w:sz w:val="20"/>
          <w:szCs w:val="20"/>
          <w:highlight w:val="none"/>
          <w:lang w:val="en-US" w:eastAsia="zh-CN" w:bidi="ar-SA"/>
        </w:rPr>
      </w:pPr>
    </w:p>
    <w:p>
      <w:pPr>
        <w:pStyle w:val="93"/>
        <w:keepNext w:val="0"/>
        <w:keepLines w:val="0"/>
        <w:pageBreakBefore w:val="0"/>
        <w:widowControl/>
        <w:numPr>
          <w:ilvl w:val="0"/>
          <w:numId w:val="0"/>
        </w:numPr>
        <w:kinsoku/>
        <w:wordWrap/>
        <w:overflowPunct/>
        <w:topLinePunct w:val="0"/>
        <w:autoSpaceDE/>
        <w:autoSpaceDN/>
        <w:bidi w:val="0"/>
        <w:adjustRightInd w:val="0"/>
        <w:snapToGrid w:val="0"/>
        <w:spacing w:before="0" w:after="0" w:line="240" w:lineRule="auto"/>
        <w:jc w:val="both"/>
        <w:textAlignment w:val="auto"/>
        <w:rPr>
          <w:rFonts w:hint="eastAsia" w:ascii="Times New Roman" w:hAnsi="Times New Roman" w:eastAsia="宋体" w:cs="Times New Roman"/>
          <w:sz w:val="20"/>
          <w:szCs w:val="20"/>
          <w:highlight w:val="none"/>
          <w:lang w:val="en-US" w:eastAsia="zh-CN" w:bidi="ar-SA"/>
        </w:rPr>
      </w:pPr>
      <w:r>
        <w:rPr>
          <w:rFonts w:hint="eastAsia" w:ascii="Times New Roman" w:hAnsi="Times New Roman" w:eastAsia="宋体" w:cs="Times New Roman"/>
          <w:sz w:val="20"/>
          <w:szCs w:val="20"/>
          <w:highlight w:val="none"/>
          <w:lang w:val="en-US" w:eastAsia="zh-CN" w:bidi="ar-SA"/>
        </w:rPr>
        <w:t>Based on the above analysis, the candidate values can be INTEGER(0..255), and the phase quality resolution can be 0.1 in units of degrees. Therefore, we have the following proposal:</w:t>
      </w:r>
    </w:p>
    <w:p>
      <w:pPr>
        <w:pStyle w:val="93"/>
        <w:keepNext w:val="0"/>
        <w:keepLines w:val="0"/>
        <w:pageBreakBefore w:val="0"/>
        <w:widowControl/>
        <w:numPr>
          <w:ilvl w:val="0"/>
          <w:numId w:val="0"/>
        </w:numPr>
        <w:kinsoku/>
        <w:wordWrap/>
        <w:overflowPunct/>
        <w:topLinePunct w:val="0"/>
        <w:autoSpaceDE/>
        <w:autoSpaceDN/>
        <w:bidi w:val="0"/>
        <w:adjustRightInd w:val="0"/>
        <w:snapToGrid w:val="0"/>
        <w:spacing w:before="0" w:after="0" w:line="240" w:lineRule="auto"/>
        <w:jc w:val="both"/>
        <w:textAlignment w:val="auto"/>
        <w:rPr>
          <w:rFonts w:hint="default" w:ascii="Times New Roman" w:hAnsi="Times New Roman" w:eastAsia="宋体" w:cs="Times New Roman"/>
          <w:sz w:val="20"/>
          <w:szCs w:val="20"/>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cs="Times New Roman"/>
          <w:b/>
          <w:bCs/>
          <w:i/>
          <w:iCs/>
          <w:sz w:val="20"/>
          <w:szCs w:val="20"/>
          <w:highlight w:val="none"/>
          <w:lang w:val="en-US" w:eastAsia="zh-CN"/>
        </w:rPr>
      </w:pPr>
      <w:bookmarkStart w:id="15" w:name="_Ref20644"/>
      <w:r>
        <w:rPr>
          <w:rFonts w:hint="default" w:ascii="Times New Roman" w:hAnsi="Times New Roman" w:cs="Times New Roman" w:eastAsiaTheme="minorEastAsia"/>
          <w:b/>
          <w:bCs/>
          <w:i/>
          <w:iCs/>
          <w:sz w:val="20"/>
          <w:szCs w:val="20"/>
          <w:highlight w:val="none"/>
          <w:lang w:val="en-GB" w:eastAsia="sv-SE" w:bidi="ar-SA"/>
        </w:rPr>
        <w:t xml:space="preserve">Proposal </w:t>
      </w:r>
      <w:r>
        <w:rPr>
          <w:rFonts w:hint="default" w:ascii="Times New Roman" w:hAnsi="Times New Roman" w:cs="Times New Roman" w:eastAsiaTheme="minorEastAsia"/>
          <w:b/>
          <w:bCs/>
          <w:i/>
          <w:iCs/>
          <w:sz w:val="20"/>
          <w:szCs w:val="20"/>
          <w:highlight w:val="none"/>
          <w:lang w:val="en-GB" w:eastAsia="sv-SE" w:bidi="ar-SA"/>
        </w:rPr>
        <w:fldChar w:fldCharType="begin"/>
      </w:r>
      <w:r>
        <w:rPr>
          <w:rFonts w:hint="default" w:ascii="Times New Roman" w:hAnsi="Times New Roman" w:cs="Times New Roman" w:eastAsiaTheme="minorEastAsia"/>
          <w:b/>
          <w:bCs/>
          <w:i/>
          <w:iCs/>
          <w:sz w:val="20"/>
          <w:szCs w:val="20"/>
          <w:highlight w:val="none"/>
          <w:lang w:val="en-GB" w:eastAsia="sv-SE" w:bidi="ar-SA"/>
        </w:rPr>
        <w:instrText xml:space="preserve"> SEQ Proposal \* ARABIC </w:instrText>
      </w:r>
      <w:r>
        <w:rPr>
          <w:rFonts w:hint="default" w:ascii="Times New Roman" w:hAnsi="Times New Roman" w:cs="Times New Roman" w:eastAsiaTheme="minorEastAsia"/>
          <w:b/>
          <w:bCs/>
          <w:i/>
          <w:iCs/>
          <w:sz w:val="20"/>
          <w:szCs w:val="20"/>
          <w:highlight w:val="none"/>
          <w:lang w:val="en-GB" w:eastAsia="sv-SE" w:bidi="ar-SA"/>
        </w:rPr>
        <w:fldChar w:fldCharType="separate"/>
      </w:r>
      <w:r>
        <w:rPr>
          <w:rFonts w:hint="default" w:ascii="Times New Roman" w:hAnsi="Times New Roman" w:cs="Times New Roman" w:eastAsiaTheme="minorEastAsia"/>
          <w:b/>
          <w:bCs/>
          <w:i/>
          <w:iCs/>
          <w:sz w:val="20"/>
          <w:szCs w:val="20"/>
          <w:highlight w:val="none"/>
          <w:lang w:val="en-GB" w:eastAsia="sv-SE" w:bidi="ar-SA"/>
        </w:rPr>
        <w:t>4</w:t>
      </w:r>
      <w:r>
        <w:rPr>
          <w:rFonts w:hint="default" w:ascii="Times New Roman" w:hAnsi="Times New Roman" w:cs="Times New Roman" w:eastAsiaTheme="minorEastAsia"/>
          <w:b/>
          <w:bCs/>
          <w:i/>
          <w:iCs/>
          <w:sz w:val="20"/>
          <w:szCs w:val="20"/>
          <w:highlight w:val="none"/>
          <w:lang w:val="en-GB" w:eastAsia="sv-SE" w:bidi="ar-SA"/>
        </w:rPr>
        <w:fldChar w:fldCharType="end"/>
      </w:r>
      <w:r>
        <w:rPr>
          <w:rFonts w:hint="default" w:ascii="Times New Roman" w:hAnsi="Times New Roman" w:cs="Times New Roman"/>
          <w:b/>
          <w:bCs/>
          <w:i/>
          <w:iCs/>
          <w:sz w:val="20"/>
          <w:szCs w:val="20"/>
          <w:lang w:val="en-GB" w:eastAsia="sv-SE"/>
        </w:rPr>
        <w:t xml:space="preserve">: </w:t>
      </w:r>
      <w:r>
        <w:rPr>
          <w:rFonts w:hint="eastAsia" w:ascii="Times New Roman" w:hAnsi="Times New Roman" w:cs="Times New Roman"/>
          <w:b/>
          <w:bCs/>
          <w:i/>
          <w:iCs/>
          <w:sz w:val="20"/>
          <w:szCs w:val="20"/>
          <w:lang w:val="en-US" w:eastAsia="zh-CN"/>
        </w:rPr>
        <w:t>The candidate values of phase quality index can be INTEGER(0..255), and the phase quality resolution can be 0.1 in units of degrees.</w:t>
      </w:r>
      <w:bookmarkEnd w:id="15"/>
    </w:p>
    <w:p>
      <w:pPr>
        <w:pStyle w:val="93"/>
        <w:keepNext w:val="0"/>
        <w:keepLines w:val="0"/>
        <w:pageBreakBefore w:val="0"/>
        <w:widowControl/>
        <w:numPr>
          <w:ilvl w:val="0"/>
          <w:numId w:val="0"/>
        </w:numPr>
        <w:kinsoku/>
        <w:wordWrap/>
        <w:overflowPunct/>
        <w:topLinePunct w:val="0"/>
        <w:autoSpaceDE/>
        <w:autoSpaceDN/>
        <w:bidi w:val="0"/>
        <w:adjustRightInd w:val="0"/>
        <w:snapToGrid w:val="0"/>
        <w:spacing w:before="0" w:after="0" w:line="240" w:lineRule="auto"/>
        <w:jc w:val="both"/>
        <w:textAlignment w:val="auto"/>
        <w:rPr>
          <w:rFonts w:hint="default" w:ascii="Times New Roman" w:hAnsi="Times New Roman" w:cs="Times New Roman"/>
          <w:b/>
          <w:bCs/>
          <w:i/>
          <w:iCs/>
          <w:sz w:val="20"/>
          <w:szCs w:val="20"/>
          <w:highlight w:val="none"/>
          <w:lang w:val="en-US" w:eastAsia="zh-CN"/>
        </w:rPr>
      </w:pPr>
    </w:p>
    <w:bookmarkEnd w:id="5"/>
    <w:p>
      <w:pPr>
        <w:pStyle w:val="2"/>
        <w:snapToGrid w:val="0"/>
        <w:spacing w:before="120" w:after="180" w:afterLines="50"/>
        <w:ind w:left="431" w:hanging="431"/>
        <w:jc w:val="both"/>
        <w:rPr>
          <w:rFonts w:ascii="Times New Roman" w:hAnsi="Times New Roman"/>
          <w:sz w:val="28"/>
          <w:highlight w:val="none"/>
          <w:lang w:val="en-US"/>
        </w:rPr>
      </w:pPr>
      <w:r>
        <w:rPr>
          <w:rFonts w:ascii="Times New Roman" w:hAnsi="Times New Roman"/>
          <w:sz w:val="28"/>
          <w:highlight w:val="none"/>
          <w:lang w:val="en-US"/>
        </w:rPr>
        <w:t>Conclusion</w:t>
      </w:r>
    </w:p>
    <w:p>
      <w:pPr>
        <w:autoSpaceDE w:val="0"/>
        <w:autoSpaceDN w:val="0"/>
        <w:adjustRightInd w:val="0"/>
        <w:snapToGrid w:val="0"/>
        <w:spacing w:before="180" w:beforeLines="50" w:after="180" w:afterLines="50"/>
        <w:jc w:val="both"/>
        <w:rPr>
          <w:rFonts w:hint="eastAsia" w:ascii="Times New Roman" w:hAnsi="Times New Roman"/>
          <w:iCs/>
          <w:sz w:val="20"/>
          <w:szCs w:val="20"/>
          <w:highlight w:val="none"/>
        </w:rPr>
      </w:pPr>
      <w:r>
        <w:rPr>
          <w:rFonts w:ascii="Times New Roman" w:hAnsi="Times New Roman" w:eastAsia="宋体"/>
          <w:sz w:val="20"/>
          <w:szCs w:val="20"/>
          <w:highlight w:val="none"/>
        </w:rPr>
        <w:t xml:space="preserve">In this contribution, we </w:t>
      </w:r>
      <w:r>
        <w:rPr>
          <w:rFonts w:ascii="Times New Roman" w:hAnsi="Times New Roman"/>
          <w:iCs/>
          <w:sz w:val="20"/>
          <w:szCs w:val="20"/>
          <w:highlight w:val="none"/>
        </w:rPr>
        <w:t>provide our views on carrier phase measurement based positioning techniques</w:t>
      </w:r>
      <w:r>
        <w:rPr>
          <w:rFonts w:hint="eastAsia" w:ascii="Times New Roman" w:hAnsi="Times New Roman"/>
          <w:iCs/>
          <w:sz w:val="20"/>
          <w:szCs w:val="20"/>
          <w:highlight w:val="none"/>
          <w:lang w:val="en-US" w:eastAsia="zh-CN"/>
        </w:rPr>
        <w:t>.</w:t>
      </w:r>
      <w:r>
        <w:rPr>
          <w:rFonts w:hint="eastAsia" w:ascii="Times New Roman" w:hAnsi="Times New Roman"/>
          <w:iCs/>
          <w:sz w:val="20"/>
          <w:szCs w:val="20"/>
          <w:highlight w:val="none"/>
        </w:rPr>
        <w:t xml:space="preserve"> </w:t>
      </w:r>
      <w:r>
        <w:rPr>
          <w:rFonts w:hint="eastAsia" w:ascii="Times New Roman" w:hAnsi="Times New Roman"/>
          <w:iCs/>
          <w:sz w:val="20"/>
          <w:szCs w:val="20"/>
          <w:lang w:val="en-US" w:eastAsia="zh-CN"/>
        </w:rPr>
        <w:t xml:space="preserve">The detailed text proposals for the endorsed RAN1 specification can be found in section 2. And the </w:t>
      </w:r>
      <w:r>
        <w:rPr>
          <w:rFonts w:hint="eastAsia" w:ascii="Times New Roman" w:hAnsi="Times New Roman"/>
          <w:iCs/>
          <w:sz w:val="20"/>
          <w:szCs w:val="20"/>
          <w:highlight w:val="none"/>
        </w:rPr>
        <w:t>proposals</w:t>
      </w:r>
      <w:r>
        <w:rPr>
          <w:rFonts w:hint="eastAsia" w:ascii="Times New Roman" w:hAnsi="Times New Roman"/>
          <w:iCs/>
          <w:sz w:val="20"/>
          <w:szCs w:val="20"/>
          <w:highlight w:val="none"/>
          <w:lang w:val="en-US" w:eastAsia="zh-CN"/>
        </w:rPr>
        <w:t xml:space="preserve"> for other remaining issues</w:t>
      </w:r>
      <w:r>
        <w:rPr>
          <w:rFonts w:hint="eastAsia" w:ascii="Times New Roman" w:hAnsi="Times New Roman"/>
          <w:iCs/>
          <w:sz w:val="20"/>
          <w:szCs w:val="20"/>
          <w:highlight w:val="none"/>
        </w:rPr>
        <w:t xml:space="preserve"> are listed as follows:</w:t>
      </w:r>
    </w:p>
    <w:p>
      <w:pPr>
        <w:autoSpaceDE w:val="0"/>
        <w:autoSpaceDN w:val="0"/>
        <w:adjustRightInd w:val="0"/>
        <w:snapToGrid w:val="0"/>
        <w:spacing w:before="180" w:beforeLines="50" w:after="180" w:afterLines="50"/>
        <w:jc w:val="both"/>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_Ref10183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val="0"/>
          <w:sz w:val="20"/>
          <w:szCs w:val="20"/>
          <w:highlight w:val="none"/>
        </w:rPr>
        <w:t>Proposal 1: From RAN1</w:t>
      </w:r>
      <w:r>
        <w:rPr>
          <w:rFonts w:hint="default" w:ascii="Times New Roman" w:hAnsi="Times New Roman" w:cs="Times New Roman"/>
          <w:b/>
          <w:bCs/>
          <w:i/>
          <w:iCs w:val="0"/>
          <w:sz w:val="20"/>
          <w:szCs w:val="20"/>
          <w:highlight w:val="none"/>
          <w:lang w:val="en-US" w:eastAsia="zh-CN"/>
        </w:rPr>
        <w:t>’</w:t>
      </w:r>
      <w:r>
        <w:rPr>
          <w:rFonts w:hint="default" w:ascii="Times New Roman" w:hAnsi="Times New Roman" w:cs="Times New Roman"/>
          <w:b/>
          <w:bCs/>
          <w:i/>
          <w:iCs w:val="0"/>
          <w:sz w:val="20"/>
          <w:szCs w:val="20"/>
          <w:highlight w:val="none"/>
        </w:rPr>
        <w:t>s perspective, the granularity with ReportingGranularityfactor k={-1, -2</w:t>
      </w:r>
      <w:r>
        <w:rPr>
          <w:rFonts w:hint="default" w:ascii="Times New Roman" w:hAnsi="Times New Roman" w:cs="Times New Roman"/>
          <w:b/>
          <w:bCs/>
          <w:i/>
          <w:iCs w:val="0"/>
          <w:sz w:val="20"/>
          <w:szCs w:val="20"/>
          <w:highlight w:val="none"/>
          <w:lang w:val="en-US" w:eastAsia="zh-CN"/>
        </w:rPr>
        <w:t>,</w:t>
      </w:r>
      <w:r>
        <w:rPr>
          <w:rFonts w:hint="default" w:ascii="Times New Roman" w:hAnsi="Times New Roman" w:cs="Times New Roman"/>
          <w:b/>
          <w:bCs/>
          <w:i/>
          <w:iCs w:val="0"/>
          <w:sz w:val="20"/>
          <w:szCs w:val="20"/>
          <w:highlight w:val="none"/>
          <w:lang w:eastAsia="zh-CN"/>
        </w:rPr>
        <w:t xml:space="preserve"> -3, -4, -5, -6</w:t>
      </w:r>
      <w:r>
        <w:rPr>
          <w:rFonts w:hint="default" w:ascii="Times New Roman" w:hAnsi="Times New Roman" w:cs="Times New Roman"/>
          <w:b/>
          <w:bCs/>
          <w:i/>
          <w:iCs w:val="0"/>
          <w:sz w:val="20"/>
          <w:szCs w:val="20"/>
          <w:highlight w:val="none"/>
        </w:rPr>
        <w:t>} for the reporting of DL/UL timing measurements is applicable to all positioning methods</w:t>
      </w:r>
      <w:r>
        <w:rPr>
          <w:rFonts w:hint="default" w:ascii="Times New Roman" w:hAnsi="Times New Roman" w:cs="Times New Roman"/>
          <w:b/>
          <w:bCs/>
          <w:i/>
          <w:iCs w:val="0"/>
          <w:sz w:val="20"/>
          <w:szCs w:val="20"/>
          <w:highlight w:val="none"/>
          <w:lang w:val="en-US" w:eastAsia="zh-CN"/>
        </w:rPr>
        <w:t>.</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widowControl/>
        <w:kinsoku/>
        <w:wordWrap/>
        <w:overflowPunct/>
        <w:topLinePunct w:val="0"/>
        <w:autoSpaceDE w:val="0"/>
        <w:autoSpaceDN w:val="0"/>
        <w:bidi w:val="0"/>
        <w:adjustRightInd w:val="0"/>
        <w:snapToGrid w:val="0"/>
        <w:spacing w:after="0"/>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_Ref10193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val="0"/>
          <w:sz w:val="20"/>
          <w:szCs w:val="20"/>
          <w:highlight w:val="none"/>
        </w:rPr>
        <w:t>Proposal 2: When LMF forwards the carrier phase measurements reported by a PRU to a target UE for UE-based carrier phase positioning, the following information can be included in the positioning assistance data to the target UE</w:t>
      </w:r>
      <w:r>
        <w:rPr>
          <w:rFonts w:hint="default" w:ascii="Times New Roman" w:hAnsi="Times New Roman" w:cs="Times New Roman"/>
          <w:b/>
          <w:bCs/>
          <w:i/>
          <w:iCs w:val="0"/>
          <w:sz w:val="20"/>
          <w:szCs w:val="20"/>
          <w:highlight w:val="none"/>
          <w:lang w:val="en-US" w:eastAsia="zh-CN"/>
        </w:rPr>
        <w:t>, s</w:t>
      </w:r>
      <w:r>
        <w:rPr>
          <w:rFonts w:hint="default" w:ascii="Times New Roman" w:hAnsi="Times New Roman" w:cs="Times New Roman"/>
          <w:b/>
          <w:bCs/>
          <w:i/>
          <w:iCs w:val="0"/>
          <w:sz w:val="20"/>
          <w:szCs w:val="20"/>
          <w:highlight w:val="none"/>
        </w:rPr>
        <w:t xml:space="preserve">upport </w:t>
      </w:r>
      <w:r>
        <w:rPr>
          <w:rFonts w:hint="default" w:ascii="Times New Roman" w:hAnsi="Times New Roman" w:cs="Times New Roman"/>
          <w:b/>
          <w:bCs/>
          <w:i/>
          <w:iCs w:val="0"/>
          <w:sz w:val="20"/>
          <w:szCs w:val="20"/>
          <w:highlight w:val="none"/>
          <w:lang w:val="en-US" w:eastAsia="zh-CN"/>
        </w:rPr>
        <w:t>option 2:</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widowControl/>
        <w:numPr>
          <w:ilvl w:val="0"/>
          <w:numId w:val="10"/>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eastAsiaTheme="minorEastAsia"/>
          <w:b/>
          <w:bCs/>
          <w:i/>
          <w:iCs w:val="0"/>
          <w:sz w:val="20"/>
          <w:szCs w:val="20"/>
          <w:highlight w:val="none"/>
          <w:lang w:val="en-US" w:eastAsia="zh-CN" w:bidi="ar-SA"/>
        </w:rPr>
      </w:pPr>
      <w:r>
        <w:rPr>
          <w:rFonts w:hint="default" w:ascii="Times New Roman" w:hAnsi="Times New Roman" w:cs="Times New Roman" w:eastAsiaTheme="minorEastAsia"/>
          <w:b/>
          <w:bCs/>
          <w:i/>
          <w:iCs w:val="0"/>
          <w:sz w:val="20"/>
          <w:szCs w:val="20"/>
          <w:highlight w:val="none"/>
          <w:lang w:val="en-GB" w:eastAsia="sv-SE" w:bidi="ar-SA"/>
        </w:rPr>
        <w:t>Option 2: the DL PRS configuration information that were provided to the PRU for the carrier phase measurements.</w:t>
      </w:r>
    </w:p>
    <w:p>
      <w:pPr>
        <w:keepNext w:val="0"/>
        <w:keepLines w:val="0"/>
        <w:pageBreakBefore w:val="0"/>
        <w:widowControl/>
        <w:kinsoku/>
        <w:wordWrap/>
        <w:overflowPunct/>
        <w:topLinePunct w:val="0"/>
        <w:autoSpaceDE w:val="0"/>
        <w:autoSpaceDN w:val="0"/>
        <w:bidi w:val="0"/>
        <w:adjustRightInd w:val="0"/>
        <w:snapToGrid w:val="0"/>
        <w:spacing w:before="180" w:beforeLines="50" w:after="0"/>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_Ref10200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eastAsiaTheme="minorEastAsia"/>
          <w:b/>
          <w:bCs/>
          <w:i/>
          <w:iCs w:val="0"/>
          <w:sz w:val="20"/>
          <w:szCs w:val="20"/>
          <w:highlight w:val="none"/>
          <w:lang w:val="en-GB" w:eastAsia="sv-SE" w:bidi="ar-SA"/>
        </w:rPr>
        <w:t xml:space="preserve">Proposal 3: </w:t>
      </w:r>
      <w:r>
        <w:rPr>
          <w:rFonts w:hint="default" w:ascii="Times New Roman" w:hAnsi="Times New Roman" w:cs="Times New Roman"/>
          <w:b/>
          <w:bCs/>
          <w:i/>
          <w:iCs w:val="0"/>
          <w:sz w:val="20"/>
          <w:szCs w:val="20"/>
        </w:rPr>
        <w:t>When an LMF requests the UEs, including target UE and PRU(s), to perform measurements on indicated DL PRS resource set(s) occurring within indicated time window(s)</w:t>
      </w:r>
      <w:r>
        <w:rPr>
          <w:rFonts w:hint="default" w:ascii="Times New Roman" w:hAnsi="Times New Roman" w:cs="Times New Roman"/>
          <w:b/>
          <w:bCs/>
          <w:i/>
          <w:iCs w:val="0"/>
          <w:sz w:val="20"/>
          <w:szCs w:val="20"/>
          <w:highlight w:val="none"/>
          <w:lang w:eastAsia="zh-CN"/>
        </w:rPr>
        <w:fldChar w:fldCharType="end"/>
      </w:r>
    </w:p>
    <w:p>
      <w:pPr>
        <w:pStyle w:val="93"/>
        <w:keepNext w:val="0"/>
        <w:keepLines w:val="0"/>
        <w:pageBreakBefore w:val="0"/>
        <w:widowControl/>
        <w:numPr>
          <w:ilvl w:val="1"/>
          <w:numId w:val="8"/>
        </w:numPr>
        <w:kinsoku/>
        <w:wordWrap/>
        <w:overflowPunct/>
        <w:topLinePunct w:val="0"/>
        <w:autoSpaceDE/>
        <w:autoSpaceDN/>
        <w:bidi w:val="0"/>
        <w:adjustRightInd w:val="0"/>
        <w:snapToGrid w:val="0"/>
        <w:spacing w:before="0" w:after="0" w:line="240" w:lineRule="auto"/>
        <w:textAlignment w:val="auto"/>
        <w:rPr>
          <w:rFonts w:hint="default" w:ascii="Times New Roman" w:hAnsi="Times New Roman" w:cs="Times New Roman"/>
          <w:b/>
          <w:bCs/>
          <w:i/>
          <w:iCs w:val="0"/>
          <w:sz w:val="20"/>
          <w:szCs w:val="20"/>
          <w:lang w:eastAsia="zh-CN"/>
        </w:rPr>
      </w:pPr>
      <w:r>
        <w:rPr>
          <w:rFonts w:hint="default" w:ascii="Times New Roman" w:hAnsi="Times New Roman" w:cs="Times New Roman"/>
          <w:b/>
          <w:bCs/>
          <w:i/>
          <w:iCs w:val="0"/>
          <w:sz w:val="20"/>
          <w:szCs w:val="20"/>
        </w:rPr>
        <w:t>DL PRS resource sets across all TRPs are in one DL PFL</w:t>
      </w:r>
    </w:p>
    <w:p>
      <w:pPr>
        <w:pStyle w:val="93"/>
        <w:keepNext w:val="0"/>
        <w:keepLines w:val="0"/>
        <w:pageBreakBefore w:val="0"/>
        <w:widowControl/>
        <w:numPr>
          <w:ilvl w:val="2"/>
          <w:numId w:val="8"/>
        </w:numPr>
        <w:kinsoku/>
        <w:wordWrap/>
        <w:overflowPunct/>
        <w:topLinePunct w:val="0"/>
        <w:autoSpaceDE/>
        <w:autoSpaceDN/>
        <w:bidi w:val="0"/>
        <w:adjustRightInd w:val="0"/>
        <w:snapToGrid w:val="0"/>
        <w:spacing w:before="0" w:after="0" w:line="240" w:lineRule="auto"/>
        <w:textAlignment w:val="auto"/>
        <w:rPr>
          <w:rFonts w:hint="default" w:ascii="Times New Roman" w:hAnsi="Times New Roman" w:cs="Times New Roman"/>
          <w:b/>
          <w:bCs/>
          <w:i/>
          <w:iCs/>
          <w:sz w:val="20"/>
          <w:szCs w:val="20"/>
          <w:highlight w:val="none"/>
          <w:lang w:eastAsia="zh-CN"/>
        </w:rPr>
      </w:pPr>
      <w:r>
        <w:rPr>
          <w:rFonts w:hint="default" w:ascii="Times New Roman" w:hAnsi="Times New Roman" w:cs="Times New Roman"/>
          <w:b/>
          <w:bCs/>
          <w:i/>
          <w:iCs/>
          <w:sz w:val="20"/>
          <w:szCs w:val="20"/>
          <w:highlight w:val="none"/>
          <w:lang w:eastAsia="zh-CN"/>
        </w:rPr>
        <w:t xml:space="preserve">For PRS bandwidth aggregation, an </w:t>
      </w:r>
      <w:r>
        <w:rPr>
          <w:rFonts w:hint="default" w:ascii="Times New Roman" w:hAnsi="Times New Roman" w:cs="Times New Roman"/>
          <w:b/>
          <w:bCs/>
          <w:i/>
          <w:iCs/>
          <w:sz w:val="20"/>
          <w:szCs w:val="20"/>
          <w:highlight w:val="none"/>
        </w:rPr>
        <w:t>indicated DL PRS resource set refers to a combination of linked PRS resource sets</w:t>
      </w:r>
      <w:r>
        <w:rPr>
          <w:rFonts w:hint="eastAsia" w:ascii="Times New Roman" w:hAnsi="Times New Roman" w:cs="Times New Roman"/>
          <w:b/>
          <w:bCs/>
          <w:i/>
          <w:iCs/>
          <w:sz w:val="20"/>
          <w:szCs w:val="20"/>
          <w:highlight w:val="none"/>
          <w:lang w:val="en-US" w:eastAsia="zh-CN"/>
        </w:rPr>
        <w:t xml:space="preserve"> which includes the indicated DL PRS resource set</w:t>
      </w:r>
      <w:r>
        <w:rPr>
          <w:rFonts w:hint="default" w:ascii="Times New Roman" w:hAnsi="Times New Roman" w:cs="Times New Roman"/>
          <w:b/>
          <w:bCs/>
          <w:i/>
          <w:iCs/>
          <w:sz w:val="20"/>
          <w:szCs w:val="20"/>
          <w:highlight w:val="none"/>
          <w:lang w:val="en-US" w:eastAsia="zh-CN"/>
        </w:rPr>
        <w:t>, and the linked PRS resource sets of each TRP are in the same DL PFLs combination.</w:t>
      </w:r>
    </w:p>
    <w:p>
      <w:pPr>
        <w:pStyle w:val="93"/>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0" w:line="240" w:lineRule="auto"/>
        <w:textAlignment w:val="auto"/>
        <w:rPr>
          <w:rFonts w:hint="default" w:ascii="Times New Roman" w:hAnsi="Times New Roman" w:cs="Times New Roman" w:eastAsiaTheme="minorEastAsia"/>
          <w:b/>
          <w:bCs/>
          <w:i/>
          <w:iCs w:val="0"/>
          <w:sz w:val="20"/>
          <w:szCs w:val="20"/>
          <w:highlight w:val="none"/>
          <w:lang w:val="en-US" w:eastAsia="zh-CN" w:bidi="ar-SA"/>
        </w:rPr>
      </w:pPr>
      <w:r>
        <w:rPr>
          <w:rFonts w:hint="default" w:ascii="Times New Roman" w:hAnsi="Times New Roman" w:cs="Times New Roman" w:eastAsiaTheme="minorEastAsia"/>
          <w:b/>
          <w:bCs/>
          <w:i/>
          <w:iCs w:val="0"/>
          <w:sz w:val="20"/>
          <w:szCs w:val="20"/>
          <w:highlight w:val="none"/>
          <w:lang w:val="en-US" w:eastAsia="zh-CN" w:bidi="ar-SA"/>
        </w:rPr>
        <w:fldChar w:fldCharType="begin"/>
      </w:r>
      <w:r>
        <w:rPr>
          <w:rFonts w:hint="default" w:ascii="Times New Roman" w:hAnsi="Times New Roman" w:cs="Times New Roman" w:eastAsiaTheme="minorEastAsia"/>
          <w:b/>
          <w:bCs/>
          <w:i/>
          <w:iCs w:val="0"/>
          <w:sz w:val="20"/>
          <w:szCs w:val="20"/>
          <w:highlight w:val="none"/>
          <w:lang w:val="en-US" w:eastAsia="zh-CN" w:bidi="ar-SA"/>
        </w:rPr>
        <w:instrText xml:space="preserve"> REF _Ref20644 \h </w:instrText>
      </w:r>
      <w:r>
        <w:rPr>
          <w:rFonts w:hint="default" w:ascii="Times New Roman" w:hAnsi="Times New Roman" w:cs="Times New Roman" w:eastAsiaTheme="minorEastAsia"/>
          <w:b/>
          <w:bCs/>
          <w:i/>
          <w:iCs w:val="0"/>
          <w:sz w:val="20"/>
          <w:szCs w:val="20"/>
          <w:highlight w:val="none"/>
          <w:lang w:val="en-US" w:eastAsia="zh-CN" w:bidi="ar-SA"/>
        </w:rPr>
        <w:fldChar w:fldCharType="separate"/>
      </w:r>
      <w:r>
        <w:rPr>
          <w:rFonts w:hint="default" w:ascii="Times New Roman" w:hAnsi="Times New Roman" w:cs="Times New Roman" w:eastAsiaTheme="minorEastAsia"/>
          <w:b/>
          <w:bCs/>
          <w:i/>
          <w:iCs w:val="0"/>
          <w:sz w:val="20"/>
          <w:szCs w:val="20"/>
          <w:highlight w:val="none"/>
          <w:lang w:val="en-GB" w:eastAsia="sv-SE" w:bidi="ar-SA"/>
        </w:rPr>
        <w:t>Proposal 4</w:t>
      </w:r>
      <w:r>
        <w:rPr>
          <w:rFonts w:hint="default" w:ascii="Times New Roman" w:hAnsi="Times New Roman" w:cs="Times New Roman"/>
          <w:b/>
          <w:bCs/>
          <w:i/>
          <w:iCs w:val="0"/>
          <w:sz w:val="20"/>
          <w:szCs w:val="20"/>
          <w:lang w:val="en-GB" w:eastAsia="sv-SE"/>
        </w:rPr>
        <w:t xml:space="preserve">: </w:t>
      </w:r>
      <w:r>
        <w:rPr>
          <w:rFonts w:hint="default" w:ascii="Times New Roman" w:hAnsi="Times New Roman" w:cs="Times New Roman"/>
          <w:b/>
          <w:bCs/>
          <w:i/>
          <w:iCs w:val="0"/>
          <w:sz w:val="20"/>
          <w:szCs w:val="20"/>
          <w:lang w:val="en-US" w:eastAsia="zh-CN"/>
        </w:rPr>
        <w:t>The candidate values of phase quality index can be INTEGER(0..255), and the phase quality resolution can be 0.1 in units of degrees.</w:t>
      </w:r>
      <w:r>
        <w:rPr>
          <w:rFonts w:hint="default" w:ascii="Times New Roman" w:hAnsi="Times New Roman" w:cs="Times New Roman" w:eastAsiaTheme="minorEastAsia"/>
          <w:b/>
          <w:bCs/>
          <w:i/>
          <w:iCs w:val="0"/>
          <w:sz w:val="20"/>
          <w:szCs w:val="20"/>
          <w:highlight w:val="none"/>
          <w:lang w:val="en-US" w:eastAsia="zh-CN" w:bidi="ar-SA"/>
        </w:rPr>
        <w:fldChar w:fldCharType="end"/>
      </w:r>
    </w:p>
    <w:p>
      <w:pPr>
        <w:pStyle w:val="2"/>
        <w:snapToGrid w:val="0"/>
        <w:spacing w:before="120" w:after="180" w:afterLines="50"/>
        <w:ind w:left="431" w:hanging="431"/>
        <w:jc w:val="both"/>
        <w:rPr>
          <w:rFonts w:ascii="Times New Roman" w:hAnsi="Times New Roman"/>
          <w:sz w:val="28"/>
          <w:highlight w:val="none"/>
          <w:lang w:val="en-US"/>
        </w:rPr>
      </w:pPr>
      <w:r>
        <w:rPr>
          <w:rFonts w:hint="eastAsia" w:ascii="Times New Roman" w:hAnsi="Times New Roman"/>
          <w:sz w:val="28"/>
          <w:highlight w:val="none"/>
          <w:lang w:val="en-US" w:eastAsia="zh-CN"/>
        </w:rPr>
        <w:t>References</w:t>
      </w:r>
    </w:p>
    <w:p>
      <w:pPr>
        <w:numPr>
          <w:ilvl w:val="0"/>
          <w:numId w:val="14"/>
        </w:numPr>
        <w:autoSpaceDE w:val="0"/>
        <w:autoSpaceDN w:val="0"/>
        <w:adjustRightInd w:val="0"/>
        <w:snapToGrid w:val="0"/>
        <w:spacing w:after="0" w:line="240" w:lineRule="auto"/>
        <w:jc w:val="both"/>
        <w:rPr>
          <w:rFonts w:ascii="Times New Roman" w:hAnsi="Times New Roman" w:eastAsia="宋体"/>
          <w:sz w:val="20"/>
          <w:szCs w:val="20"/>
          <w:lang w:val="en-US"/>
        </w:rPr>
      </w:pPr>
      <w:r>
        <w:rPr>
          <w:rFonts w:ascii="Times New Roman" w:hAnsi="Times New Roman"/>
          <w:sz w:val="20"/>
        </w:rPr>
        <w:t>Draft Report of 3GPP TSG RAN WG1 #114bis v0.1.0</w:t>
      </w:r>
      <w:r>
        <w:rPr>
          <w:rFonts w:hint="eastAsia" w:ascii="Times New Roman" w:hAnsi="Times New Roman"/>
          <w:sz w:val="20"/>
          <w:lang w:val="en-US" w:eastAsia="zh-CN"/>
        </w:rPr>
        <w:t xml:space="preserve"> </w:t>
      </w:r>
      <w:r>
        <w:rPr>
          <w:rFonts w:ascii="Times New Roman" w:hAnsi="Times New Roman" w:eastAsia="宋体" w:cs="Times New Roman"/>
          <w:b w:val="0"/>
          <w:sz w:val="20"/>
          <w:szCs w:val="20"/>
          <w:lang w:val="en-US" w:eastAsia="zh-CN" w:bidi="ar-SA"/>
        </w:rPr>
        <w:t>(</w:t>
      </w:r>
      <w:r>
        <w:rPr>
          <w:rFonts w:hint="eastAsia" w:ascii="Times New Roman" w:hAnsi="Times New Roman" w:eastAsia="宋体" w:cs="Times New Roman"/>
          <w:b w:val="0"/>
          <w:sz w:val="20"/>
          <w:szCs w:val="20"/>
          <w:lang w:val="en-US" w:eastAsia="zh-CN" w:bidi="ar-SA"/>
        </w:rPr>
        <w:t>Xiamen</w:t>
      </w:r>
      <w:r>
        <w:rPr>
          <w:rFonts w:ascii="Times New Roman" w:hAnsi="Times New Roman" w:eastAsia="宋体" w:cs="Times New Roman"/>
          <w:b w:val="0"/>
          <w:sz w:val="20"/>
          <w:szCs w:val="20"/>
          <w:lang w:val="en-US" w:eastAsia="zh-CN" w:bidi="ar-SA"/>
        </w:rPr>
        <w:t xml:space="preserve">, </w:t>
      </w:r>
      <w:r>
        <w:rPr>
          <w:rFonts w:hint="eastAsia" w:ascii="Times New Roman" w:hAnsi="Times New Roman" w:eastAsia="宋体" w:cs="Times New Roman"/>
          <w:b w:val="0"/>
          <w:sz w:val="20"/>
          <w:szCs w:val="20"/>
          <w:lang w:val="en-US" w:eastAsia="zh-CN" w:bidi="ar-SA"/>
        </w:rPr>
        <w:t>China</w:t>
      </w:r>
      <w:r>
        <w:rPr>
          <w:rFonts w:ascii="Times New Roman" w:hAnsi="Times New Roman" w:eastAsia="宋体" w:cs="Times New Roman"/>
          <w:b w:val="0"/>
          <w:sz w:val="20"/>
          <w:szCs w:val="20"/>
          <w:lang w:val="en-US" w:eastAsia="zh-CN" w:bidi="ar-SA"/>
        </w:rPr>
        <w:t xml:space="preserve">, </w:t>
      </w:r>
      <w:r>
        <w:rPr>
          <w:rFonts w:hint="eastAsia" w:ascii="Times New Roman" w:hAnsi="Times New Roman" w:eastAsia="宋体" w:cs="Times New Roman"/>
          <w:b w:val="0"/>
          <w:sz w:val="20"/>
          <w:szCs w:val="20"/>
          <w:lang w:val="en-US" w:eastAsia="zh-CN" w:bidi="ar-SA"/>
        </w:rPr>
        <w:t>8th</w:t>
      </w:r>
      <w:r>
        <w:rPr>
          <w:rFonts w:ascii="Times New Roman" w:hAnsi="Times New Roman" w:eastAsia="宋体" w:cs="Times New Roman"/>
          <w:b w:val="0"/>
          <w:sz w:val="20"/>
          <w:szCs w:val="20"/>
          <w:lang w:val="en-US" w:eastAsia="zh-CN" w:bidi="ar-SA"/>
        </w:rPr>
        <w:t xml:space="preserve"> – </w:t>
      </w:r>
      <w:r>
        <w:rPr>
          <w:rFonts w:hint="eastAsia" w:ascii="Times New Roman" w:hAnsi="Times New Roman" w:eastAsia="宋体" w:cs="Times New Roman"/>
          <w:b w:val="0"/>
          <w:sz w:val="20"/>
          <w:szCs w:val="20"/>
          <w:lang w:val="en-US" w:eastAsia="zh-CN" w:bidi="ar-SA"/>
        </w:rPr>
        <w:t>13</w:t>
      </w:r>
      <w:r>
        <w:rPr>
          <w:rFonts w:ascii="Times New Roman" w:hAnsi="Times New Roman" w:eastAsia="宋体" w:cs="Times New Roman"/>
          <w:b w:val="0"/>
          <w:sz w:val="20"/>
          <w:szCs w:val="20"/>
          <w:lang w:val="en-US" w:eastAsia="zh-CN" w:bidi="ar-SA"/>
        </w:rPr>
        <w:t xml:space="preserve">th </w:t>
      </w:r>
      <w:r>
        <w:rPr>
          <w:rFonts w:hint="eastAsia" w:ascii="Times New Roman" w:hAnsi="Times New Roman" w:eastAsia="宋体" w:cs="Times New Roman"/>
          <w:b w:val="0"/>
          <w:sz w:val="20"/>
          <w:szCs w:val="20"/>
          <w:lang w:val="en-US" w:eastAsia="zh-CN" w:bidi="ar-SA"/>
        </w:rPr>
        <w:t>October</w:t>
      </w:r>
      <w:r>
        <w:rPr>
          <w:rFonts w:ascii="Times New Roman" w:hAnsi="Times New Roman" w:eastAsia="宋体" w:cs="Times New Roman"/>
          <w:b w:val="0"/>
          <w:sz w:val="20"/>
          <w:szCs w:val="20"/>
          <w:lang w:val="en-US" w:eastAsia="zh-CN" w:bidi="ar-SA"/>
        </w:rPr>
        <w:t xml:space="preserve"> 2023</w:t>
      </w:r>
      <w:r>
        <w:rPr>
          <w:rFonts w:hint="eastAsia" w:ascii="Times New Roman" w:hAnsi="Times New Roman" w:eastAsia="宋体" w:cs="Times New Roman"/>
          <w:b w:val="0"/>
          <w:sz w:val="20"/>
          <w:szCs w:val="20"/>
          <w:lang w:val="en-US" w:eastAsia="zh-CN" w:bidi="ar-SA"/>
        </w:rPr>
        <w:t>).</w:t>
      </w:r>
    </w:p>
    <w:p>
      <w:pPr>
        <w:numPr>
          <w:ilvl w:val="0"/>
          <w:numId w:val="14"/>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38.214: "NR; Physical layer procedures for data (Release 18)".</w:t>
      </w:r>
    </w:p>
    <w:p>
      <w:pPr>
        <w:numPr>
          <w:ilvl w:val="0"/>
          <w:numId w:val="14"/>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38.21</w:t>
      </w:r>
      <w:r>
        <w:rPr>
          <w:rFonts w:hint="eastAsia" w:ascii="Times New Roman" w:hAnsi="Times New Roman" w:eastAsia="宋体"/>
          <w:sz w:val="20"/>
          <w:szCs w:val="20"/>
          <w:lang w:val="en-US" w:eastAsia="zh-CN"/>
        </w:rPr>
        <w:t>5</w:t>
      </w:r>
      <w:r>
        <w:rPr>
          <w:rFonts w:ascii="Times New Roman" w:hAnsi="Times New Roman" w:eastAsia="宋体"/>
          <w:sz w:val="20"/>
          <w:szCs w:val="20"/>
        </w:rPr>
        <w:t xml:space="preserve">: "NR; Physical layer </w:t>
      </w:r>
      <w:r>
        <w:rPr>
          <w:rFonts w:hint="eastAsia" w:ascii="Times New Roman" w:hAnsi="Times New Roman" w:eastAsia="宋体"/>
          <w:sz w:val="20"/>
          <w:szCs w:val="20"/>
          <w:lang w:val="en-US" w:eastAsia="zh-CN"/>
        </w:rPr>
        <w:t>measurements</w:t>
      </w:r>
      <w:r>
        <w:rPr>
          <w:rFonts w:ascii="Times New Roman" w:hAnsi="Times New Roman" w:eastAsia="宋体"/>
          <w:sz w:val="20"/>
          <w:szCs w:val="20"/>
        </w:rPr>
        <w:t xml:space="preserve"> (Release 18)".</w:t>
      </w:r>
    </w:p>
    <w:p>
      <w:pPr>
        <w:numPr>
          <w:ilvl w:val="0"/>
          <w:numId w:val="14"/>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R1-2310798</w:t>
      </w:r>
      <w:r>
        <w:rPr>
          <w:rFonts w:hint="eastAsia" w:ascii="Times New Roman" w:hAnsi="Times New Roman" w:eastAsia="宋体"/>
          <w:sz w:val="20"/>
          <w:szCs w:val="20"/>
          <w:lang w:val="en-US" w:eastAsia="zh-CN"/>
        </w:rPr>
        <w:t>/</w:t>
      </w:r>
      <w:r>
        <w:rPr>
          <w:rFonts w:ascii="Times New Roman" w:hAnsi="Times New Roman" w:eastAsia="宋体"/>
          <w:sz w:val="20"/>
          <w:szCs w:val="20"/>
        </w:rPr>
        <w:t>R4-2317391</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rPr>
        <w:t>LS on SL positioning and carrier phase positioning measurements</w:t>
      </w:r>
      <w:r>
        <w:rPr>
          <w:rFonts w:hint="eastAsia" w:ascii="Times New Roman" w:hAnsi="Times New Roman" w:eastAsia="宋体"/>
          <w:sz w:val="20"/>
          <w:szCs w:val="20"/>
          <w:lang w:val="en-US" w:eastAsia="zh-CN"/>
        </w:rPr>
        <w:t xml:space="preserve"> </w:t>
      </w:r>
      <w:r>
        <w:rPr>
          <w:rFonts w:ascii="Times New Roman" w:hAnsi="Times New Roman" w:eastAsia="宋体" w:cs="Times New Roman"/>
          <w:b w:val="0"/>
          <w:sz w:val="20"/>
          <w:szCs w:val="20"/>
          <w:lang w:val="en-US" w:eastAsia="zh-CN" w:bidi="ar-SA"/>
        </w:rPr>
        <w:t>(</w:t>
      </w:r>
      <w:r>
        <w:rPr>
          <w:rFonts w:hint="eastAsia" w:ascii="Times New Roman" w:hAnsi="Times New Roman" w:eastAsia="宋体" w:cs="Times New Roman"/>
          <w:b w:val="0"/>
          <w:sz w:val="20"/>
          <w:szCs w:val="20"/>
          <w:lang w:val="en-US" w:eastAsia="zh-CN" w:bidi="ar-SA"/>
        </w:rPr>
        <w:t>Chicago</w:t>
      </w:r>
      <w:r>
        <w:rPr>
          <w:rFonts w:ascii="Times New Roman" w:hAnsi="Times New Roman" w:eastAsia="宋体" w:cs="Times New Roman"/>
          <w:b w:val="0"/>
          <w:sz w:val="20"/>
          <w:szCs w:val="20"/>
          <w:lang w:val="en-US" w:eastAsia="zh-CN" w:bidi="ar-SA"/>
        </w:rPr>
        <w:t xml:space="preserve">, </w:t>
      </w:r>
      <w:r>
        <w:rPr>
          <w:rFonts w:hint="eastAsia" w:ascii="Times New Roman" w:hAnsi="Times New Roman" w:eastAsia="宋体" w:cs="Times New Roman"/>
          <w:b w:val="0"/>
          <w:sz w:val="20"/>
          <w:szCs w:val="20"/>
          <w:lang w:val="en-US" w:eastAsia="zh-CN" w:bidi="ar-SA"/>
        </w:rPr>
        <w:t>US,</w:t>
      </w:r>
      <w:r>
        <w:rPr>
          <w:rFonts w:ascii="Times New Roman" w:hAnsi="Times New Roman" w:eastAsia="宋体" w:cs="Times New Roman"/>
          <w:b w:val="0"/>
          <w:sz w:val="20"/>
          <w:szCs w:val="20"/>
          <w:lang w:val="en-US" w:eastAsia="zh-CN" w:bidi="ar-SA"/>
        </w:rPr>
        <w:t xml:space="preserve"> </w:t>
      </w:r>
      <w:r>
        <w:rPr>
          <w:rFonts w:hint="eastAsia" w:ascii="Times New Roman" w:hAnsi="Times New Roman" w:eastAsia="宋体" w:cs="Times New Roman"/>
          <w:b w:val="0"/>
          <w:sz w:val="20"/>
          <w:szCs w:val="20"/>
          <w:lang w:val="en-US" w:eastAsia="zh-CN" w:bidi="ar-SA"/>
        </w:rPr>
        <w:t>13th</w:t>
      </w:r>
      <w:r>
        <w:rPr>
          <w:rFonts w:ascii="Times New Roman" w:hAnsi="Times New Roman" w:eastAsia="宋体" w:cs="Times New Roman"/>
          <w:b w:val="0"/>
          <w:sz w:val="20"/>
          <w:szCs w:val="20"/>
          <w:lang w:val="en-US" w:eastAsia="zh-CN" w:bidi="ar-SA"/>
        </w:rPr>
        <w:t xml:space="preserve"> – </w:t>
      </w:r>
      <w:r>
        <w:rPr>
          <w:rFonts w:hint="eastAsia" w:ascii="Times New Roman" w:hAnsi="Times New Roman" w:eastAsia="宋体" w:cs="Times New Roman"/>
          <w:b w:val="0"/>
          <w:sz w:val="20"/>
          <w:szCs w:val="20"/>
          <w:lang w:val="en-US" w:eastAsia="zh-CN" w:bidi="ar-SA"/>
        </w:rPr>
        <w:t>17</w:t>
      </w:r>
      <w:r>
        <w:rPr>
          <w:rFonts w:ascii="Times New Roman" w:hAnsi="Times New Roman" w:eastAsia="宋体" w:cs="Times New Roman"/>
          <w:b w:val="0"/>
          <w:sz w:val="20"/>
          <w:szCs w:val="20"/>
          <w:lang w:val="en-US" w:eastAsia="zh-CN" w:bidi="ar-SA"/>
        </w:rPr>
        <w:t xml:space="preserve">th </w:t>
      </w:r>
      <w:r>
        <w:rPr>
          <w:rFonts w:hint="eastAsia" w:ascii="Times New Roman" w:hAnsi="Times New Roman" w:eastAsia="宋体" w:cs="Times New Roman"/>
          <w:b w:val="0"/>
          <w:sz w:val="20"/>
          <w:szCs w:val="20"/>
          <w:lang w:val="en-US" w:eastAsia="zh-CN" w:bidi="ar-SA"/>
        </w:rPr>
        <w:t xml:space="preserve">November </w:t>
      </w:r>
      <w:r>
        <w:rPr>
          <w:rFonts w:ascii="Times New Roman" w:hAnsi="Times New Roman" w:eastAsia="宋体" w:cs="Times New Roman"/>
          <w:b w:val="0"/>
          <w:sz w:val="20"/>
          <w:szCs w:val="20"/>
          <w:lang w:val="en-US" w:eastAsia="zh-CN" w:bidi="ar-SA"/>
        </w:rPr>
        <w:t>2023</w:t>
      </w:r>
      <w:r>
        <w:rPr>
          <w:rFonts w:hint="eastAsia" w:ascii="Times New Roman" w:hAnsi="Times New Roman" w:eastAsia="宋体" w:cs="Times New Roman"/>
          <w:b w:val="0"/>
          <w:sz w:val="20"/>
          <w:szCs w:val="20"/>
          <w:lang w:val="en-US" w:eastAsia="zh-CN" w:bidi="ar-SA"/>
        </w:rPr>
        <w:t>).</w:t>
      </w:r>
    </w:p>
    <w:p>
      <w:pPr>
        <w:numPr>
          <w:ilvl w:val="0"/>
          <w:numId w:val="0"/>
        </w:numPr>
        <w:autoSpaceDE w:val="0"/>
        <w:autoSpaceDN w:val="0"/>
        <w:adjustRightInd w:val="0"/>
        <w:snapToGrid w:val="0"/>
        <w:spacing w:after="0" w:line="240" w:lineRule="auto"/>
        <w:jc w:val="both"/>
        <w:rPr>
          <w:rFonts w:hint="default" w:ascii="Times New Roman" w:hAnsi="Times New Roman" w:cs="Times New Roman"/>
          <w:kern w:val="2"/>
          <w:sz w:val="20"/>
          <w:szCs w:val="20"/>
          <w:highlight w:val="none"/>
          <w:lang w:val="en-US" w:eastAsia="zh-CN"/>
        </w:rPr>
      </w:pPr>
    </w:p>
    <w:sectPr>
      <w:footerReference r:id="rId5" w:type="default"/>
      <w:type w:val="continuous"/>
      <w:pgSz w:w="11906" w:h="16838"/>
      <w:pgMar w:top="1440" w:right="1440" w:bottom="1440" w:left="1440" w:header="720" w:footer="720" w:gutter="0"/>
      <w:cols w:space="0" w:num="1"/>
      <w:rtlGutter w:val="0"/>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rFonts w:hint="default"/>
        <w:i w:val="0"/>
        <w:iCs w:val="0"/>
      </w:rPr>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324" w:hanging="804"/>
      </w:pPr>
      <w:rPr>
        <w:rFonts w:hint="default" w:ascii="Times" w:hAnsi="Times" w:eastAsia="Batang" w:cs="Time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1423D17"/>
    <w:multiLevelType w:val="multilevel"/>
    <w:tmpl w:val="41423D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17F6AFB"/>
    <w:multiLevelType w:val="multilevel"/>
    <w:tmpl w:val="417F6AFB"/>
    <w:lvl w:ilvl="0" w:tentative="0">
      <w:start w:val="1"/>
      <w:numFmt w:val="bullet"/>
      <w:pStyle w:val="9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35F4511"/>
    <w:multiLevelType w:val="multilevel"/>
    <w:tmpl w:val="435F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4B34F0D"/>
    <w:multiLevelType w:val="multilevel"/>
    <w:tmpl w:val="44B34F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5B4E0AAA"/>
    <w:multiLevelType w:val="multilevel"/>
    <w:tmpl w:val="5B4E0AAA"/>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9">
    <w:nsid w:val="62A64B1E"/>
    <w:multiLevelType w:val="multilevel"/>
    <w:tmpl w:val="62A64B1E"/>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2C94FD1"/>
    <w:multiLevelType w:val="multilevel"/>
    <w:tmpl w:val="72C94F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4A47C96"/>
    <w:multiLevelType w:val="multilevel"/>
    <w:tmpl w:val="74A47C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490469"/>
    <w:multiLevelType w:val="multilevel"/>
    <w:tmpl w:val="7B4904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10"/>
  </w:num>
  <w:num w:numId="4">
    <w:abstractNumId w:val="6"/>
  </w:num>
  <w:num w:numId="5">
    <w:abstractNumId w:val="3"/>
  </w:num>
  <w:num w:numId="6">
    <w:abstractNumId w:val="13"/>
  </w:num>
  <w:num w:numId="7">
    <w:abstractNumId w:val="5"/>
  </w:num>
  <w:num w:numId="8">
    <w:abstractNumId w:val="12"/>
  </w:num>
  <w:num w:numId="9">
    <w:abstractNumId w:val="2"/>
  </w:num>
  <w:num w:numId="10">
    <w:abstractNumId w:val="8"/>
  </w:num>
  <w:num w:numId="11">
    <w:abstractNumId w:val="7"/>
  </w:num>
  <w:num w:numId="12">
    <w:abstractNumId w:val="9"/>
  </w:num>
  <w:num w:numId="13">
    <w:abstractNumId w:val="1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08"/>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5D"/>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6C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4FE"/>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1FAE"/>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39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63D"/>
    <w:rsid w:val="000B2A46"/>
    <w:rsid w:val="000B2A84"/>
    <w:rsid w:val="000B2A98"/>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8A"/>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E91"/>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424"/>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2990"/>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115"/>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420"/>
    <w:rsid w:val="001766ED"/>
    <w:rsid w:val="001769F1"/>
    <w:rsid w:val="00176B19"/>
    <w:rsid w:val="00176B66"/>
    <w:rsid w:val="00176C11"/>
    <w:rsid w:val="00176C67"/>
    <w:rsid w:val="00176D05"/>
    <w:rsid w:val="0017730A"/>
    <w:rsid w:val="001773F2"/>
    <w:rsid w:val="001774B7"/>
    <w:rsid w:val="00177926"/>
    <w:rsid w:val="00177D21"/>
    <w:rsid w:val="00177ECD"/>
    <w:rsid w:val="00180357"/>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2B9"/>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5F18"/>
    <w:rsid w:val="002462DB"/>
    <w:rsid w:val="002463AD"/>
    <w:rsid w:val="00246452"/>
    <w:rsid w:val="00246470"/>
    <w:rsid w:val="00246488"/>
    <w:rsid w:val="00246617"/>
    <w:rsid w:val="002469E9"/>
    <w:rsid w:val="00246A3D"/>
    <w:rsid w:val="00246F00"/>
    <w:rsid w:val="00247284"/>
    <w:rsid w:val="00247359"/>
    <w:rsid w:val="00247AEE"/>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0C5"/>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4F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75"/>
    <w:rsid w:val="003908BC"/>
    <w:rsid w:val="00390D2F"/>
    <w:rsid w:val="00390D93"/>
    <w:rsid w:val="00390F2A"/>
    <w:rsid w:val="00391454"/>
    <w:rsid w:val="003918F2"/>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51D"/>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59A"/>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2F63"/>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5D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0FB"/>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2E8"/>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C2B"/>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AB"/>
    <w:rsid w:val="004F398E"/>
    <w:rsid w:val="004F39AB"/>
    <w:rsid w:val="004F3AA1"/>
    <w:rsid w:val="004F3B42"/>
    <w:rsid w:val="004F3C7C"/>
    <w:rsid w:val="004F3CCF"/>
    <w:rsid w:val="004F3D39"/>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3E21"/>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16A"/>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4CB"/>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45"/>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8EE"/>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5DE"/>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6B7"/>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B57"/>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3D0"/>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4A16"/>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262"/>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958"/>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AB"/>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DBC"/>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27"/>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867"/>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8"/>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5F0"/>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A51"/>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DEB"/>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F6"/>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8B"/>
    <w:rsid w:val="00776ED8"/>
    <w:rsid w:val="007772D4"/>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E91"/>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5FCA"/>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3FFB"/>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65"/>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5"/>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5A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542"/>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4A86"/>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0EAF"/>
    <w:rsid w:val="00851058"/>
    <w:rsid w:val="008511E6"/>
    <w:rsid w:val="008515B3"/>
    <w:rsid w:val="008515EC"/>
    <w:rsid w:val="00851659"/>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1E"/>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B9"/>
    <w:rsid w:val="00860FD1"/>
    <w:rsid w:val="0086122A"/>
    <w:rsid w:val="00861708"/>
    <w:rsid w:val="00861805"/>
    <w:rsid w:val="00861A4A"/>
    <w:rsid w:val="00861A83"/>
    <w:rsid w:val="00861B3A"/>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6B4E"/>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1FE3"/>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693"/>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2C"/>
    <w:rsid w:val="009A0572"/>
    <w:rsid w:val="009A078C"/>
    <w:rsid w:val="009A0940"/>
    <w:rsid w:val="009A1240"/>
    <w:rsid w:val="009A130F"/>
    <w:rsid w:val="009A13AD"/>
    <w:rsid w:val="009A18CA"/>
    <w:rsid w:val="009A193C"/>
    <w:rsid w:val="009A209D"/>
    <w:rsid w:val="009A2116"/>
    <w:rsid w:val="009A22B7"/>
    <w:rsid w:val="009A232F"/>
    <w:rsid w:val="009A3031"/>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CFC"/>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2F1"/>
    <w:rsid w:val="009D04FF"/>
    <w:rsid w:val="009D06D8"/>
    <w:rsid w:val="009D0842"/>
    <w:rsid w:val="009D0F2E"/>
    <w:rsid w:val="009D0FFC"/>
    <w:rsid w:val="009D1B87"/>
    <w:rsid w:val="009D1D3E"/>
    <w:rsid w:val="009D1E52"/>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D59"/>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1DC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0C5"/>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C77"/>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0E"/>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78"/>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EBA"/>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D14"/>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67BF0"/>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56D"/>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6F04"/>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970"/>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BE7"/>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690"/>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5C"/>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48"/>
    <w:rsid w:val="00AE19FC"/>
    <w:rsid w:val="00AE1A8F"/>
    <w:rsid w:val="00AE1B30"/>
    <w:rsid w:val="00AE1DF2"/>
    <w:rsid w:val="00AE21AD"/>
    <w:rsid w:val="00AE22A4"/>
    <w:rsid w:val="00AE22F1"/>
    <w:rsid w:val="00AE24A4"/>
    <w:rsid w:val="00AE2AAD"/>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0C"/>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01C"/>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1A"/>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C4"/>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34B"/>
    <w:rsid w:val="00B85470"/>
    <w:rsid w:val="00B85800"/>
    <w:rsid w:val="00B858A2"/>
    <w:rsid w:val="00B85942"/>
    <w:rsid w:val="00B85E01"/>
    <w:rsid w:val="00B85F9C"/>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16A"/>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1"/>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E31"/>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195"/>
    <w:rsid w:val="00C13453"/>
    <w:rsid w:val="00C135D2"/>
    <w:rsid w:val="00C136AD"/>
    <w:rsid w:val="00C137AE"/>
    <w:rsid w:val="00C138B9"/>
    <w:rsid w:val="00C138FB"/>
    <w:rsid w:val="00C13956"/>
    <w:rsid w:val="00C13C2F"/>
    <w:rsid w:val="00C13D0F"/>
    <w:rsid w:val="00C13F8D"/>
    <w:rsid w:val="00C13FBA"/>
    <w:rsid w:val="00C14200"/>
    <w:rsid w:val="00C14338"/>
    <w:rsid w:val="00C144AE"/>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38"/>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213"/>
    <w:rsid w:val="00C3665B"/>
    <w:rsid w:val="00C36719"/>
    <w:rsid w:val="00C36A68"/>
    <w:rsid w:val="00C36CB8"/>
    <w:rsid w:val="00C36E68"/>
    <w:rsid w:val="00C3704B"/>
    <w:rsid w:val="00C370BE"/>
    <w:rsid w:val="00C37283"/>
    <w:rsid w:val="00C375A7"/>
    <w:rsid w:val="00C375F5"/>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A04"/>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37F"/>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5B7"/>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A9"/>
    <w:rsid w:val="00D029C3"/>
    <w:rsid w:val="00D02C56"/>
    <w:rsid w:val="00D02CAC"/>
    <w:rsid w:val="00D02D53"/>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6BB7"/>
    <w:rsid w:val="00D0743E"/>
    <w:rsid w:val="00D07543"/>
    <w:rsid w:val="00D0754D"/>
    <w:rsid w:val="00D076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BE5"/>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542"/>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4CB"/>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62B"/>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092"/>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1EF"/>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77"/>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6F48"/>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5CC"/>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C73"/>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8CF"/>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B0"/>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4EB"/>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00"/>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AD"/>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CD0"/>
    <w:rsid w:val="00F63D00"/>
    <w:rsid w:val="00F641FB"/>
    <w:rsid w:val="00F64311"/>
    <w:rsid w:val="00F644C4"/>
    <w:rsid w:val="00F646C0"/>
    <w:rsid w:val="00F64B1F"/>
    <w:rsid w:val="00F64CA2"/>
    <w:rsid w:val="00F65160"/>
    <w:rsid w:val="00F651F0"/>
    <w:rsid w:val="00F65259"/>
    <w:rsid w:val="00F65292"/>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C47"/>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8E2"/>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5E"/>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0B2A"/>
    <w:rsid w:val="012E3D59"/>
    <w:rsid w:val="012E78A0"/>
    <w:rsid w:val="013340AD"/>
    <w:rsid w:val="01384A19"/>
    <w:rsid w:val="013A5D59"/>
    <w:rsid w:val="013C501C"/>
    <w:rsid w:val="013D4FA6"/>
    <w:rsid w:val="01464F0E"/>
    <w:rsid w:val="01484FD4"/>
    <w:rsid w:val="015602B3"/>
    <w:rsid w:val="01590814"/>
    <w:rsid w:val="01592BEE"/>
    <w:rsid w:val="01657634"/>
    <w:rsid w:val="01697CD6"/>
    <w:rsid w:val="016B6DD7"/>
    <w:rsid w:val="016C7E35"/>
    <w:rsid w:val="01701670"/>
    <w:rsid w:val="0171562A"/>
    <w:rsid w:val="01742CDF"/>
    <w:rsid w:val="017729EB"/>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EE5FA2"/>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942"/>
    <w:rsid w:val="02410A4C"/>
    <w:rsid w:val="024D3362"/>
    <w:rsid w:val="02525FDE"/>
    <w:rsid w:val="0258068C"/>
    <w:rsid w:val="02606278"/>
    <w:rsid w:val="0266047F"/>
    <w:rsid w:val="026B01DE"/>
    <w:rsid w:val="026B4AEA"/>
    <w:rsid w:val="026D6DEF"/>
    <w:rsid w:val="02746FAE"/>
    <w:rsid w:val="027527A1"/>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55687"/>
    <w:rsid w:val="0307267F"/>
    <w:rsid w:val="030916A6"/>
    <w:rsid w:val="030B5378"/>
    <w:rsid w:val="030D3E9D"/>
    <w:rsid w:val="030D51A2"/>
    <w:rsid w:val="031A545F"/>
    <w:rsid w:val="031F008D"/>
    <w:rsid w:val="032A509F"/>
    <w:rsid w:val="032F4F77"/>
    <w:rsid w:val="03334938"/>
    <w:rsid w:val="0333596C"/>
    <w:rsid w:val="03375E7B"/>
    <w:rsid w:val="033912FE"/>
    <w:rsid w:val="03394321"/>
    <w:rsid w:val="03406AD4"/>
    <w:rsid w:val="034938C7"/>
    <w:rsid w:val="034E4F0F"/>
    <w:rsid w:val="034F290D"/>
    <w:rsid w:val="03513AB2"/>
    <w:rsid w:val="035279F8"/>
    <w:rsid w:val="03535FAB"/>
    <w:rsid w:val="035A6727"/>
    <w:rsid w:val="0360437B"/>
    <w:rsid w:val="03646BD7"/>
    <w:rsid w:val="037C715A"/>
    <w:rsid w:val="03826E5C"/>
    <w:rsid w:val="03892991"/>
    <w:rsid w:val="038C02EB"/>
    <w:rsid w:val="038C6EF9"/>
    <w:rsid w:val="038E2E18"/>
    <w:rsid w:val="038F1DC9"/>
    <w:rsid w:val="03944A19"/>
    <w:rsid w:val="039545AE"/>
    <w:rsid w:val="03995C8A"/>
    <w:rsid w:val="03A4198E"/>
    <w:rsid w:val="03AD0569"/>
    <w:rsid w:val="03AF5D06"/>
    <w:rsid w:val="03BA4249"/>
    <w:rsid w:val="03C74561"/>
    <w:rsid w:val="03CE1F98"/>
    <w:rsid w:val="03CE5373"/>
    <w:rsid w:val="03D11A1D"/>
    <w:rsid w:val="03D61EA0"/>
    <w:rsid w:val="03D974C6"/>
    <w:rsid w:val="03DC24B8"/>
    <w:rsid w:val="03E54BD6"/>
    <w:rsid w:val="03E73A64"/>
    <w:rsid w:val="03E82126"/>
    <w:rsid w:val="03F63AEF"/>
    <w:rsid w:val="03F8560A"/>
    <w:rsid w:val="040562E0"/>
    <w:rsid w:val="040B23D6"/>
    <w:rsid w:val="041203F0"/>
    <w:rsid w:val="04132C1A"/>
    <w:rsid w:val="04156280"/>
    <w:rsid w:val="0416592D"/>
    <w:rsid w:val="0417289A"/>
    <w:rsid w:val="04181433"/>
    <w:rsid w:val="04291C59"/>
    <w:rsid w:val="042A2F90"/>
    <w:rsid w:val="042A3EB0"/>
    <w:rsid w:val="04317277"/>
    <w:rsid w:val="043226E3"/>
    <w:rsid w:val="04377E4A"/>
    <w:rsid w:val="043E57C9"/>
    <w:rsid w:val="044415A9"/>
    <w:rsid w:val="04452238"/>
    <w:rsid w:val="0445405A"/>
    <w:rsid w:val="044A1114"/>
    <w:rsid w:val="044C008C"/>
    <w:rsid w:val="04552E83"/>
    <w:rsid w:val="045619E7"/>
    <w:rsid w:val="0456648E"/>
    <w:rsid w:val="04580ED4"/>
    <w:rsid w:val="045D0C1E"/>
    <w:rsid w:val="04616CCB"/>
    <w:rsid w:val="046D380D"/>
    <w:rsid w:val="046F363B"/>
    <w:rsid w:val="0473137D"/>
    <w:rsid w:val="04737418"/>
    <w:rsid w:val="04740FD2"/>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77250"/>
    <w:rsid w:val="04EC7074"/>
    <w:rsid w:val="04F01589"/>
    <w:rsid w:val="04F4171E"/>
    <w:rsid w:val="04F6701A"/>
    <w:rsid w:val="04F8221A"/>
    <w:rsid w:val="04FC5709"/>
    <w:rsid w:val="050035D1"/>
    <w:rsid w:val="05050CAD"/>
    <w:rsid w:val="050F19D9"/>
    <w:rsid w:val="0512041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D4FD2"/>
    <w:rsid w:val="058D5C32"/>
    <w:rsid w:val="058E331A"/>
    <w:rsid w:val="05941672"/>
    <w:rsid w:val="059B236F"/>
    <w:rsid w:val="059B32A7"/>
    <w:rsid w:val="059E3691"/>
    <w:rsid w:val="059F5D9C"/>
    <w:rsid w:val="05A558D5"/>
    <w:rsid w:val="05A94C73"/>
    <w:rsid w:val="05B25404"/>
    <w:rsid w:val="05B35812"/>
    <w:rsid w:val="05B86725"/>
    <w:rsid w:val="05BB4C6D"/>
    <w:rsid w:val="05BE5A15"/>
    <w:rsid w:val="05C12962"/>
    <w:rsid w:val="05C23CE5"/>
    <w:rsid w:val="05C30024"/>
    <w:rsid w:val="05C31A0E"/>
    <w:rsid w:val="05C92259"/>
    <w:rsid w:val="05CC6A7E"/>
    <w:rsid w:val="05CF32AE"/>
    <w:rsid w:val="05CF3D91"/>
    <w:rsid w:val="05D75F40"/>
    <w:rsid w:val="05E02D26"/>
    <w:rsid w:val="05E31D83"/>
    <w:rsid w:val="05E6321E"/>
    <w:rsid w:val="05E80906"/>
    <w:rsid w:val="05F04C76"/>
    <w:rsid w:val="05F10131"/>
    <w:rsid w:val="05F23FCE"/>
    <w:rsid w:val="06062A83"/>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601A7"/>
    <w:rsid w:val="06371DED"/>
    <w:rsid w:val="06372BD3"/>
    <w:rsid w:val="06373C35"/>
    <w:rsid w:val="063E7244"/>
    <w:rsid w:val="06423400"/>
    <w:rsid w:val="06432036"/>
    <w:rsid w:val="064D07B4"/>
    <w:rsid w:val="065110EC"/>
    <w:rsid w:val="06556880"/>
    <w:rsid w:val="06594ACC"/>
    <w:rsid w:val="065D0646"/>
    <w:rsid w:val="065E23F5"/>
    <w:rsid w:val="065E61A2"/>
    <w:rsid w:val="065F0CB5"/>
    <w:rsid w:val="066262A2"/>
    <w:rsid w:val="06655FAF"/>
    <w:rsid w:val="067E49F6"/>
    <w:rsid w:val="06870355"/>
    <w:rsid w:val="068F2552"/>
    <w:rsid w:val="06920AD8"/>
    <w:rsid w:val="06973A22"/>
    <w:rsid w:val="0699682E"/>
    <w:rsid w:val="069A134E"/>
    <w:rsid w:val="06A12BB8"/>
    <w:rsid w:val="06A13EFF"/>
    <w:rsid w:val="06A52641"/>
    <w:rsid w:val="06A6721A"/>
    <w:rsid w:val="06AF2646"/>
    <w:rsid w:val="06B277C2"/>
    <w:rsid w:val="06B311F6"/>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E2C7E"/>
    <w:rsid w:val="070906C4"/>
    <w:rsid w:val="07114B7A"/>
    <w:rsid w:val="071278E7"/>
    <w:rsid w:val="07186D56"/>
    <w:rsid w:val="072033BE"/>
    <w:rsid w:val="0721733B"/>
    <w:rsid w:val="07251E9C"/>
    <w:rsid w:val="07263238"/>
    <w:rsid w:val="072B2FCC"/>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06DFB"/>
    <w:rsid w:val="07BC2EEE"/>
    <w:rsid w:val="07BD0EBD"/>
    <w:rsid w:val="07BE196D"/>
    <w:rsid w:val="07C019DD"/>
    <w:rsid w:val="07C14B9B"/>
    <w:rsid w:val="07C22840"/>
    <w:rsid w:val="07C45A94"/>
    <w:rsid w:val="07C61F88"/>
    <w:rsid w:val="07C711B6"/>
    <w:rsid w:val="07C74002"/>
    <w:rsid w:val="07C864F2"/>
    <w:rsid w:val="07C87270"/>
    <w:rsid w:val="07C92F3E"/>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66B10"/>
    <w:rsid w:val="0817007D"/>
    <w:rsid w:val="081A218A"/>
    <w:rsid w:val="081B5CC0"/>
    <w:rsid w:val="081E4875"/>
    <w:rsid w:val="0821319F"/>
    <w:rsid w:val="08222CC0"/>
    <w:rsid w:val="08225938"/>
    <w:rsid w:val="082325E8"/>
    <w:rsid w:val="08284F7F"/>
    <w:rsid w:val="08344B4D"/>
    <w:rsid w:val="083B4289"/>
    <w:rsid w:val="083C682C"/>
    <w:rsid w:val="08410FA2"/>
    <w:rsid w:val="08416468"/>
    <w:rsid w:val="084518E0"/>
    <w:rsid w:val="08456538"/>
    <w:rsid w:val="084D265F"/>
    <w:rsid w:val="08533FDF"/>
    <w:rsid w:val="08594EDF"/>
    <w:rsid w:val="085B296F"/>
    <w:rsid w:val="08625F26"/>
    <w:rsid w:val="08655CD7"/>
    <w:rsid w:val="086B2DB5"/>
    <w:rsid w:val="086B5DA6"/>
    <w:rsid w:val="086C2511"/>
    <w:rsid w:val="08754A81"/>
    <w:rsid w:val="087B4E26"/>
    <w:rsid w:val="087B70D7"/>
    <w:rsid w:val="087B7B82"/>
    <w:rsid w:val="088376E1"/>
    <w:rsid w:val="088722D5"/>
    <w:rsid w:val="089055A6"/>
    <w:rsid w:val="089534B6"/>
    <w:rsid w:val="0897049D"/>
    <w:rsid w:val="08980BAB"/>
    <w:rsid w:val="08A44F08"/>
    <w:rsid w:val="08A75155"/>
    <w:rsid w:val="08A92676"/>
    <w:rsid w:val="08AA5BF5"/>
    <w:rsid w:val="08AB6847"/>
    <w:rsid w:val="08B14555"/>
    <w:rsid w:val="08C24EFE"/>
    <w:rsid w:val="08C8577F"/>
    <w:rsid w:val="08C97AC5"/>
    <w:rsid w:val="08D52288"/>
    <w:rsid w:val="08D924A9"/>
    <w:rsid w:val="08DA3FA8"/>
    <w:rsid w:val="08DF5637"/>
    <w:rsid w:val="08DF6022"/>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5C5FDB"/>
    <w:rsid w:val="095D178B"/>
    <w:rsid w:val="09616348"/>
    <w:rsid w:val="096C4215"/>
    <w:rsid w:val="096E4B93"/>
    <w:rsid w:val="096E4D5C"/>
    <w:rsid w:val="0978669A"/>
    <w:rsid w:val="097B640E"/>
    <w:rsid w:val="097E3F6C"/>
    <w:rsid w:val="098147F0"/>
    <w:rsid w:val="09897638"/>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9F843AA"/>
    <w:rsid w:val="09FC238F"/>
    <w:rsid w:val="0A03095D"/>
    <w:rsid w:val="0A0310A5"/>
    <w:rsid w:val="0A031353"/>
    <w:rsid w:val="0A090E68"/>
    <w:rsid w:val="0A0946E5"/>
    <w:rsid w:val="0A0F1C7A"/>
    <w:rsid w:val="0A0F75F4"/>
    <w:rsid w:val="0A1462E4"/>
    <w:rsid w:val="0A1737AA"/>
    <w:rsid w:val="0A264391"/>
    <w:rsid w:val="0A265C5E"/>
    <w:rsid w:val="0A3A062B"/>
    <w:rsid w:val="0A3C576A"/>
    <w:rsid w:val="0A3F2D2D"/>
    <w:rsid w:val="0A47596A"/>
    <w:rsid w:val="0A490945"/>
    <w:rsid w:val="0A4F006D"/>
    <w:rsid w:val="0A545C1F"/>
    <w:rsid w:val="0A663A61"/>
    <w:rsid w:val="0A6A17FC"/>
    <w:rsid w:val="0A6F7D15"/>
    <w:rsid w:val="0A7018D5"/>
    <w:rsid w:val="0A702C52"/>
    <w:rsid w:val="0A7059D4"/>
    <w:rsid w:val="0A723635"/>
    <w:rsid w:val="0A7D6124"/>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B1EF7"/>
    <w:rsid w:val="0AFD036E"/>
    <w:rsid w:val="0AFD1EB9"/>
    <w:rsid w:val="0AFE08A2"/>
    <w:rsid w:val="0B0952D2"/>
    <w:rsid w:val="0B0E13D6"/>
    <w:rsid w:val="0B0E3AD4"/>
    <w:rsid w:val="0B176325"/>
    <w:rsid w:val="0B1A291A"/>
    <w:rsid w:val="0B1B5925"/>
    <w:rsid w:val="0B254CAA"/>
    <w:rsid w:val="0B28501B"/>
    <w:rsid w:val="0B2E0454"/>
    <w:rsid w:val="0B311E8B"/>
    <w:rsid w:val="0B316748"/>
    <w:rsid w:val="0B316874"/>
    <w:rsid w:val="0B3440C0"/>
    <w:rsid w:val="0B361B74"/>
    <w:rsid w:val="0B3B65E0"/>
    <w:rsid w:val="0B3C005F"/>
    <w:rsid w:val="0B3C21AB"/>
    <w:rsid w:val="0B466981"/>
    <w:rsid w:val="0B5527AB"/>
    <w:rsid w:val="0B594D3B"/>
    <w:rsid w:val="0B65171B"/>
    <w:rsid w:val="0B6B272A"/>
    <w:rsid w:val="0B6C1381"/>
    <w:rsid w:val="0B6D1F77"/>
    <w:rsid w:val="0B723D3E"/>
    <w:rsid w:val="0B7957E9"/>
    <w:rsid w:val="0B7A50DB"/>
    <w:rsid w:val="0B7E624E"/>
    <w:rsid w:val="0B831B71"/>
    <w:rsid w:val="0B8A6A06"/>
    <w:rsid w:val="0B8B3A3B"/>
    <w:rsid w:val="0B9E3C42"/>
    <w:rsid w:val="0BA10CEF"/>
    <w:rsid w:val="0BA158F6"/>
    <w:rsid w:val="0BA37183"/>
    <w:rsid w:val="0BA4716A"/>
    <w:rsid w:val="0BA82B04"/>
    <w:rsid w:val="0BA83D83"/>
    <w:rsid w:val="0BA84C94"/>
    <w:rsid w:val="0BAA2645"/>
    <w:rsid w:val="0BAA4E39"/>
    <w:rsid w:val="0BAC469F"/>
    <w:rsid w:val="0BB2312B"/>
    <w:rsid w:val="0BB95B1E"/>
    <w:rsid w:val="0BBA5AE1"/>
    <w:rsid w:val="0BBC6C1A"/>
    <w:rsid w:val="0BC11A63"/>
    <w:rsid w:val="0BC20CC4"/>
    <w:rsid w:val="0BC26E21"/>
    <w:rsid w:val="0BC83BB1"/>
    <w:rsid w:val="0BCB25EE"/>
    <w:rsid w:val="0BCB744C"/>
    <w:rsid w:val="0BCB7DEA"/>
    <w:rsid w:val="0BCE580E"/>
    <w:rsid w:val="0BD4298E"/>
    <w:rsid w:val="0BD62C0F"/>
    <w:rsid w:val="0BD81F3C"/>
    <w:rsid w:val="0BDA3FDB"/>
    <w:rsid w:val="0BDA6EBB"/>
    <w:rsid w:val="0BDE6226"/>
    <w:rsid w:val="0BE879AE"/>
    <w:rsid w:val="0BEC24ED"/>
    <w:rsid w:val="0BED5C90"/>
    <w:rsid w:val="0BF3611F"/>
    <w:rsid w:val="0C055D2C"/>
    <w:rsid w:val="0C0D3535"/>
    <w:rsid w:val="0C1232A8"/>
    <w:rsid w:val="0C1B0491"/>
    <w:rsid w:val="0C1B4521"/>
    <w:rsid w:val="0C1E5D95"/>
    <w:rsid w:val="0C214DA4"/>
    <w:rsid w:val="0C2343CE"/>
    <w:rsid w:val="0C293F71"/>
    <w:rsid w:val="0C407935"/>
    <w:rsid w:val="0C426C85"/>
    <w:rsid w:val="0C432D86"/>
    <w:rsid w:val="0C4E63B2"/>
    <w:rsid w:val="0C4F69BD"/>
    <w:rsid w:val="0C512857"/>
    <w:rsid w:val="0C574E9F"/>
    <w:rsid w:val="0C5860FB"/>
    <w:rsid w:val="0C5937E9"/>
    <w:rsid w:val="0C594881"/>
    <w:rsid w:val="0C596C01"/>
    <w:rsid w:val="0C5E4639"/>
    <w:rsid w:val="0C6F7D6D"/>
    <w:rsid w:val="0C7A2965"/>
    <w:rsid w:val="0C884ACA"/>
    <w:rsid w:val="0C8935B7"/>
    <w:rsid w:val="0C894864"/>
    <w:rsid w:val="0C895198"/>
    <w:rsid w:val="0C8C6618"/>
    <w:rsid w:val="0C8D5C06"/>
    <w:rsid w:val="0C993580"/>
    <w:rsid w:val="0C9A5993"/>
    <w:rsid w:val="0CA763A8"/>
    <w:rsid w:val="0CB64B38"/>
    <w:rsid w:val="0CBC520A"/>
    <w:rsid w:val="0CBF3DD1"/>
    <w:rsid w:val="0CC3536E"/>
    <w:rsid w:val="0CD21CB7"/>
    <w:rsid w:val="0CD24D26"/>
    <w:rsid w:val="0CDB3A09"/>
    <w:rsid w:val="0CE532AB"/>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3F6642"/>
    <w:rsid w:val="0D5235A5"/>
    <w:rsid w:val="0D5D1B45"/>
    <w:rsid w:val="0D6151A4"/>
    <w:rsid w:val="0D6712AB"/>
    <w:rsid w:val="0D6924B4"/>
    <w:rsid w:val="0D6B7B3E"/>
    <w:rsid w:val="0D6D7CC3"/>
    <w:rsid w:val="0D7D5968"/>
    <w:rsid w:val="0D7E7590"/>
    <w:rsid w:val="0D8107A5"/>
    <w:rsid w:val="0D8952C8"/>
    <w:rsid w:val="0D8C7F56"/>
    <w:rsid w:val="0D902AA1"/>
    <w:rsid w:val="0D950038"/>
    <w:rsid w:val="0D9547D8"/>
    <w:rsid w:val="0DA21DB4"/>
    <w:rsid w:val="0DB14B01"/>
    <w:rsid w:val="0DB42335"/>
    <w:rsid w:val="0DC1403A"/>
    <w:rsid w:val="0DC75B70"/>
    <w:rsid w:val="0DC93981"/>
    <w:rsid w:val="0DCC0BD1"/>
    <w:rsid w:val="0DD32B50"/>
    <w:rsid w:val="0DD339D9"/>
    <w:rsid w:val="0DD75970"/>
    <w:rsid w:val="0DDB1764"/>
    <w:rsid w:val="0DDF4F05"/>
    <w:rsid w:val="0DE00F77"/>
    <w:rsid w:val="0DE2265C"/>
    <w:rsid w:val="0DE322D6"/>
    <w:rsid w:val="0DF37748"/>
    <w:rsid w:val="0E0B7F2C"/>
    <w:rsid w:val="0E165F90"/>
    <w:rsid w:val="0E170B4F"/>
    <w:rsid w:val="0E1F30B2"/>
    <w:rsid w:val="0E260532"/>
    <w:rsid w:val="0E260DE1"/>
    <w:rsid w:val="0E2A25DA"/>
    <w:rsid w:val="0E2C657F"/>
    <w:rsid w:val="0E2C6E3A"/>
    <w:rsid w:val="0E2E0706"/>
    <w:rsid w:val="0E373481"/>
    <w:rsid w:val="0E3A74C4"/>
    <w:rsid w:val="0E3D740A"/>
    <w:rsid w:val="0E401365"/>
    <w:rsid w:val="0E4977D8"/>
    <w:rsid w:val="0E531465"/>
    <w:rsid w:val="0E5355D1"/>
    <w:rsid w:val="0E594261"/>
    <w:rsid w:val="0E5B15B0"/>
    <w:rsid w:val="0E5C74E8"/>
    <w:rsid w:val="0E626314"/>
    <w:rsid w:val="0E681BEF"/>
    <w:rsid w:val="0E70754B"/>
    <w:rsid w:val="0E753626"/>
    <w:rsid w:val="0E771E58"/>
    <w:rsid w:val="0E796DFA"/>
    <w:rsid w:val="0E7A52BE"/>
    <w:rsid w:val="0E7B1820"/>
    <w:rsid w:val="0E7B61FB"/>
    <w:rsid w:val="0E7F1C04"/>
    <w:rsid w:val="0E7F2502"/>
    <w:rsid w:val="0E841CEC"/>
    <w:rsid w:val="0E8D5F4A"/>
    <w:rsid w:val="0E961603"/>
    <w:rsid w:val="0E983633"/>
    <w:rsid w:val="0E9E3ED4"/>
    <w:rsid w:val="0EA85C87"/>
    <w:rsid w:val="0EAA73B4"/>
    <w:rsid w:val="0EB0377A"/>
    <w:rsid w:val="0EB043E6"/>
    <w:rsid w:val="0EB0495D"/>
    <w:rsid w:val="0EB21A5E"/>
    <w:rsid w:val="0EB255FF"/>
    <w:rsid w:val="0EB66E2D"/>
    <w:rsid w:val="0EBC12A1"/>
    <w:rsid w:val="0EC21AFD"/>
    <w:rsid w:val="0ECC276B"/>
    <w:rsid w:val="0ED20EA8"/>
    <w:rsid w:val="0ED32F6C"/>
    <w:rsid w:val="0ED7249D"/>
    <w:rsid w:val="0ED84546"/>
    <w:rsid w:val="0EDC703A"/>
    <w:rsid w:val="0EE0087F"/>
    <w:rsid w:val="0EE52F02"/>
    <w:rsid w:val="0EE61E0B"/>
    <w:rsid w:val="0EEA7506"/>
    <w:rsid w:val="0EEB2121"/>
    <w:rsid w:val="0EEC6E27"/>
    <w:rsid w:val="0EF35CBD"/>
    <w:rsid w:val="0EFD2CC2"/>
    <w:rsid w:val="0F0555EE"/>
    <w:rsid w:val="0F0A399D"/>
    <w:rsid w:val="0F0B1157"/>
    <w:rsid w:val="0F0C554D"/>
    <w:rsid w:val="0F0D4F00"/>
    <w:rsid w:val="0F0E287E"/>
    <w:rsid w:val="0F122314"/>
    <w:rsid w:val="0F157038"/>
    <w:rsid w:val="0F191690"/>
    <w:rsid w:val="0F2566D6"/>
    <w:rsid w:val="0F334F38"/>
    <w:rsid w:val="0F374D10"/>
    <w:rsid w:val="0F390E3D"/>
    <w:rsid w:val="0F394B4B"/>
    <w:rsid w:val="0F3B729A"/>
    <w:rsid w:val="0F477871"/>
    <w:rsid w:val="0F477973"/>
    <w:rsid w:val="0F4B3454"/>
    <w:rsid w:val="0F521E2E"/>
    <w:rsid w:val="0F5313BA"/>
    <w:rsid w:val="0F5446B1"/>
    <w:rsid w:val="0F566F25"/>
    <w:rsid w:val="0F5801E9"/>
    <w:rsid w:val="0F5C4C71"/>
    <w:rsid w:val="0F5C5653"/>
    <w:rsid w:val="0F5E7046"/>
    <w:rsid w:val="0F675A2D"/>
    <w:rsid w:val="0F8116C6"/>
    <w:rsid w:val="0F890377"/>
    <w:rsid w:val="0F927670"/>
    <w:rsid w:val="0F95703F"/>
    <w:rsid w:val="0F977AA3"/>
    <w:rsid w:val="0F9D2A7E"/>
    <w:rsid w:val="0F9D727A"/>
    <w:rsid w:val="0FA54926"/>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972FC"/>
    <w:rsid w:val="0FEA2108"/>
    <w:rsid w:val="0FEC32E3"/>
    <w:rsid w:val="0FEE5F63"/>
    <w:rsid w:val="0FF14326"/>
    <w:rsid w:val="0FF53632"/>
    <w:rsid w:val="0FF61261"/>
    <w:rsid w:val="0FF7251B"/>
    <w:rsid w:val="0FF864B2"/>
    <w:rsid w:val="0FFE05DB"/>
    <w:rsid w:val="1002491E"/>
    <w:rsid w:val="100318D3"/>
    <w:rsid w:val="10074C2D"/>
    <w:rsid w:val="10080D3C"/>
    <w:rsid w:val="100C48AC"/>
    <w:rsid w:val="100D77C9"/>
    <w:rsid w:val="100F5ECF"/>
    <w:rsid w:val="10123E88"/>
    <w:rsid w:val="10171D38"/>
    <w:rsid w:val="10173B20"/>
    <w:rsid w:val="101A497B"/>
    <w:rsid w:val="101B4B2B"/>
    <w:rsid w:val="101F001F"/>
    <w:rsid w:val="10205E6C"/>
    <w:rsid w:val="10214450"/>
    <w:rsid w:val="10293910"/>
    <w:rsid w:val="103F7BBC"/>
    <w:rsid w:val="1046747A"/>
    <w:rsid w:val="104B2F84"/>
    <w:rsid w:val="104F503B"/>
    <w:rsid w:val="106104D8"/>
    <w:rsid w:val="10614B4D"/>
    <w:rsid w:val="106807AB"/>
    <w:rsid w:val="10697106"/>
    <w:rsid w:val="106D07A5"/>
    <w:rsid w:val="1070251A"/>
    <w:rsid w:val="1079125F"/>
    <w:rsid w:val="10795FF0"/>
    <w:rsid w:val="107E7E13"/>
    <w:rsid w:val="108065DC"/>
    <w:rsid w:val="108D1F6F"/>
    <w:rsid w:val="108E556A"/>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21026D"/>
    <w:rsid w:val="11241DA8"/>
    <w:rsid w:val="11254494"/>
    <w:rsid w:val="11262D96"/>
    <w:rsid w:val="11347954"/>
    <w:rsid w:val="113B4AF5"/>
    <w:rsid w:val="113D45ED"/>
    <w:rsid w:val="113F68A0"/>
    <w:rsid w:val="11463C69"/>
    <w:rsid w:val="114B2327"/>
    <w:rsid w:val="11537076"/>
    <w:rsid w:val="115452C7"/>
    <w:rsid w:val="115470DC"/>
    <w:rsid w:val="115759CE"/>
    <w:rsid w:val="115808BE"/>
    <w:rsid w:val="115E5C78"/>
    <w:rsid w:val="1161026A"/>
    <w:rsid w:val="11621410"/>
    <w:rsid w:val="11686319"/>
    <w:rsid w:val="116A024B"/>
    <w:rsid w:val="116A3787"/>
    <w:rsid w:val="11720AC2"/>
    <w:rsid w:val="1172122A"/>
    <w:rsid w:val="117525C4"/>
    <w:rsid w:val="11767657"/>
    <w:rsid w:val="11781DFA"/>
    <w:rsid w:val="11807847"/>
    <w:rsid w:val="118457F6"/>
    <w:rsid w:val="118828CF"/>
    <w:rsid w:val="118B7CC4"/>
    <w:rsid w:val="118C46DA"/>
    <w:rsid w:val="11997C59"/>
    <w:rsid w:val="119C29A2"/>
    <w:rsid w:val="119D62CE"/>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13000"/>
    <w:rsid w:val="11D617CC"/>
    <w:rsid w:val="11D76D15"/>
    <w:rsid w:val="11D8124F"/>
    <w:rsid w:val="11D864CE"/>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21024E"/>
    <w:rsid w:val="122468C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C4B1E"/>
    <w:rsid w:val="12A13BDA"/>
    <w:rsid w:val="12A142E5"/>
    <w:rsid w:val="12A8272F"/>
    <w:rsid w:val="12AC6C59"/>
    <w:rsid w:val="12AE2A22"/>
    <w:rsid w:val="12B209E5"/>
    <w:rsid w:val="12B214B4"/>
    <w:rsid w:val="12B43E24"/>
    <w:rsid w:val="12C336A4"/>
    <w:rsid w:val="12C60939"/>
    <w:rsid w:val="12C70E6B"/>
    <w:rsid w:val="12DA12F7"/>
    <w:rsid w:val="12E0156B"/>
    <w:rsid w:val="12E53EB9"/>
    <w:rsid w:val="12F00E7B"/>
    <w:rsid w:val="12F85E8C"/>
    <w:rsid w:val="12F95EB4"/>
    <w:rsid w:val="12FA1A9D"/>
    <w:rsid w:val="13022B2F"/>
    <w:rsid w:val="13076BAF"/>
    <w:rsid w:val="130830A1"/>
    <w:rsid w:val="130A6AD2"/>
    <w:rsid w:val="130F03F0"/>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21EFE"/>
    <w:rsid w:val="13834E54"/>
    <w:rsid w:val="138C3BB4"/>
    <w:rsid w:val="138E21E8"/>
    <w:rsid w:val="13A46633"/>
    <w:rsid w:val="13A53E20"/>
    <w:rsid w:val="13A57CC6"/>
    <w:rsid w:val="13A64D44"/>
    <w:rsid w:val="13A71807"/>
    <w:rsid w:val="13AA36AA"/>
    <w:rsid w:val="13AA72DA"/>
    <w:rsid w:val="13AE4A5F"/>
    <w:rsid w:val="13B4098E"/>
    <w:rsid w:val="13B62320"/>
    <w:rsid w:val="13BA6369"/>
    <w:rsid w:val="13C63810"/>
    <w:rsid w:val="13C673D1"/>
    <w:rsid w:val="13D14F64"/>
    <w:rsid w:val="13E30309"/>
    <w:rsid w:val="13E42CC7"/>
    <w:rsid w:val="13E4364F"/>
    <w:rsid w:val="13E932C7"/>
    <w:rsid w:val="13ED4B00"/>
    <w:rsid w:val="13EF1BCA"/>
    <w:rsid w:val="13F253BC"/>
    <w:rsid w:val="13FF26E6"/>
    <w:rsid w:val="1400415D"/>
    <w:rsid w:val="14012738"/>
    <w:rsid w:val="14057081"/>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C5715"/>
    <w:rsid w:val="144D7A2D"/>
    <w:rsid w:val="145075DE"/>
    <w:rsid w:val="145822B7"/>
    <w:rsid w:val="14654D1B"/>
    <w:rsid w:val="14687805"/>
    <w:rsid w:val="146B1CFB"/>
    <w:rsid w:val="146D65F1"/>
    <w:rsid w:val="147C4CAE"/>
    <w:rsid w:val="14822913"/>
    <w:rsid w:val="149C2E77"/>
    <w:rsid w:val="14A31F03"/>
    <w:rsid w:val="14A5629F"/>
    <w:rsid w:val="14A74E22"/>
    <w:rsid w:val="14AC1E4E"/>
    <w:rsid w:val="14AC398C"/>
    <w:rsid w:val="14B3042E"/>
    <w:rsid w:val="14C453B3"/>
    <w:rsid w:val="14CE5C48"/>
    <w:rsid w:val="14D141D7"/>
    <w:rsid w:val="14D5012B"/>
    <w:rsid w:val="14E0139D"/>
    <w:rsid w:val="14E47191"/>
    <w:rsid w:val="14E9786D"/>
    <w:rsid w:val="14EC3E5C"/>
    <w:rsid w:val="14ED0A8C"/>
    <w:rsid w:val="14F863D5"/>
    <w:rsid w:val="14FA4CD9"/>
    <w:rsid w:val="14FB5F43"/>
    <w:rsid w:val="15100FA6"/>
    <w:rsid w:val="1513479B"/>
    <w:rsid w:val="15163AB9"/>
    <w:rsid w:val="151A1661"/>
    <w:rsid w:val="15262908"/>
    <w:rsid w:val="1529226A"/>
    <w:rsid w:val="15387A07"/>
    <w:rsid w:val="1539647F"/>
    <w:rsid w:val="153D0A90"/>
    <w:rsid w:val="153D638E"/>
    <w:rsid w:val="154173E7"/>
    <w:rsid w:val="15457D24"/>
    <w:rsid w:val="154D3BE2"/>
    <w:rsid w:val="15500B81"/>
    <w:rsid w:val="15512718"/>
    <w:rsid w:val="155D4772"/>
    <w:rsid w:val="156103E7"/>
    <w:rsid w:val="15635D03"/>
    <w:rsid w:val="15640239"/>
    <w:rsid w:val="156C0FB4"/>
    <w:rsid w:val="157723EB"/>
    <w:rsid w:val="157876E1"/>
    <w:rsid w:val="15792A24"/>
    <w:rsid w:val="1587641C"/>
    <w:rsid w:val="158942F4"/>
    <w:rsid w:val="158A42AA"/>
    <w:rsid w:val="15903990"/>
    <w:rsid w:val="159A2718"/>
    <w:rsid w:val="159A616F"/>
    <w:rsid w:val="15A16B2A"/>
    <w:rsid w:val="15A36994"/>
    <w:rsid w:val="15A63099"/>
    <w:rsid w:val="15A83FDF"/>
    <w:rsid w:val="15A93467"/>
    <w:rsid w:val="15AC1F1E"/>
    <w:rsid w:val="15AE067E"/>
    <w:rsid w:val="15B274DC"/>
    <w:rsid w:val="15B51F07"/>
    <w:rsid w:val="15B64890"/>
    <w:rsid w:val="15B7100A"/>
    <w:rsid w:val="15BA1EF1"/>
    <w:rsid w:val="15BB7F8A"/>
    <w:rsid w:val="15BE7996"/>
    <w:rsid w:val="15C532BF"/>
    <w:rsid w:val="15CB56F8"/>
    <w:rsid w:val="15D0130C"/>
    <w:rsid w:val="15D2523F"/>
    <w:rsid w:val="15D2564C"/>
    <w:rsid w:val="15D61E56"/>
    <w:rsid w:val="15DC216E"/>
    <w:rsid w:val="15DD4D2E"/>
    <w:rsid w:val="15E577C7"/>
    <w:rsid w:val="15EA10AD"/>
    <w:rsid w:val="15EB18DC"/>
    <w:rsid w:val="15F04781"/>
    <w:rsid w:val="15F80CE0"/>
    <w:rsid w:val="160856FA"/>
    <w:rsid w:val="161409A3"/>
    <w:rsid w:val="161971DA"/>
    <w:rsid w:val="162148B4"/>
    <w:rsid w:val="16280F32"/>
    <w:rsid w:val="163E0BDC"/>
    <w:rsid w:val="164129F4"/>
    <w:rsid w:val="16443216"/>
    <w:rsid w:val="16446CE1"/>
    <w:rsid w:val="16570F3D"/>
    <w:rsid w:val="16572EE6"/>
    <w:rsid w:val="16573D94"/>
    <w:rsid w:val="165F0C11"/>
    <w:rsid w:val="16660F5F"/>
    <w:rsid w:val="16697F44"/>
    <w:rsid w:val="166A6944"/>
    <w:rsid w:val="166D0B60"/>
    <w:rsid w:val="16764363"/>
    <w:rsid w:val="167F4E63"/>
    <w:rsid w:val="16837FDA"/>
    <w:rsid w:val="1684192E"/>
    <w:rsid w:val="1688409F"/>
    <w:rsid w:val="168B1464"/>
    <w:rsid w:val="168E0B29"/>
    <w:rsid w:val="16972BB3"/>
    <w:rsid w:val="1698607C"/>
    <w:rsid w:val="169A4305"/>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37193"/>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41B5A"/>
    <w:rsid w:val="17275F2A"/>
    <w:rsid w:val="17276415"/>
    <w:rsid w:val="172F2D58"/>
    <w:rsid w:val="17351DB9"/>
    <w:rsid w:val="17393127"/>
    <w:rsid w:val="173D1032"/>
    <w:rsid w:val="17423214"/>
    <w:rsid w:val="174903F6"/>
    <w:rsid w:val="174E5530"/>
    <w:rsid w:val="17512C20"/>
    <w:rsid w:val="175A558F"/>
    <w:rsid w:val="17644012"/>
    <w:rsid w:val="17645BD7"/>
    <w:rsid w:val="176572C2"/>
    <w:rsid w:val="17697677"/>
    <w:rsid w:val="17706CD4"/>
    <w:rsid w:val="17732C4B"/>
    <w:rsid w:val="177B12E6"/>
    <w:rsid w:val="17813432"/>
    <w:rsid w:val="1783148B"/>
    <w:rsid w:val="17835639"/>
    <w:rsid w:val="178366FE"/>
    <w:rsid w:val="17853817"/>
    <w:rsid w:val="178A3414"/>
    <w:rsid w:val="178D1B35"/>
    <w:rsid w:val="178F5437"/>
    <w:rsid w:val="17945C8C"/>
    <w:rsid w:val="179F07DF"/>
    <w:rsid w:val="17AC66F7"/>
    <w:rsid w:val="17AE6614"/>
    <w:rsid w:val="17B20D61"/>
    <w:rsid w:val="17BC286D"/>
    <w:rsid w:val="17BD1567"/>
    <w:rsid w:val="17BE4E82"/>
    <w:rsid w:val="17C13630"/>
    <w:rsid w:val="17C142EC"/>
    <w:rsid w:val="17C1545E"/>
    <w:rsid w:val="17CF161A"/>
    <w:rsid w:val="17DE3E41"/>
    <w:rsid w:val="17DF6C02"/>
    <w:rsid w:val="17E12765"/>
    <w:rsid w:val="17EA49F8"/>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119D7"/>
    <w:rsid w:val="184476DA"/>
    <w:rsid w:val="1846532E"/>
    <w:rsid w:val="18526244"/>
    <w:rsid w:val="18540741"/>
    <w:rsid w:val="18587C4F"/>
    <w:rsid w:val="18593E4A"/>
    <w:rsid w:val="18597279"/>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8F91425"/>
    <w:rsid w:val="19022465"/>
    <w:rsid w:val="19087E5A"/>
    <w:rsid w:val="1909668C"/>
    <w:rsid w:val="190A5AAB"/>
    <w:rsid w:val="190B365E"/>
    <w:rsid w:val="190B5982"/>
    <w:rsid w:val="190E24A2"/>
    <w:rsid w:val="190F246E"/>
    <w:rsid w:val="1910107B"/>
    <w:rsid w:val="19117EDB"/>
    <w:rsid w:val="1919445B"/>
    <w:rsid w:val="19262916"/>
    <w:rsid w:val="1929257A"/>
    <w:rsid w:val="19296C8F"/>
    <w:rsid w:val="192B582F"/>
    <w:rsid w:val="192F7BEE"/>
    <w:rsid w:val="193C5189"/>
    <w:rsid w:val="193F3607"/>
    <w:rsid w:val="193F51BD"/>
    <w:rsid w:val="1944727F"/>
    <w:rsid w:val="1948038A"/>
    <w:rsid w:val="194A66F4"/>
    <w:rsid w:val="194C08BA"/>
    <w:rsid w:val="19507206"/>
    <w:rsid w:val="19546D47"/>
    <w:rsid w:val="19561E54"/>
    <w:rsid w:val="19594AC8"/>
    <w:rsid w:val="19642537"/>
    <w:rsid w:val="196B2DC5"/>
    <w:rsid w:val="19704940"/>
    <w:rsid w:val="19761FAF"/>
    <w:rsid w:val="19767155"/>
    <w:rsid w:val="19767890"/>
    <w:rsid w:val="197E00E2"/>
    <w:rsid w:val="197E4EC9"/>
    <w:rsid w:val="19801AD3"/>
    <w:rsid w:val="198438C8"/>
    <w:rsid w:val="19854BB3"/>
    <w:rsid w:val="198A317C"/>
    <w:rsid w:val="198A5B9B"/>
    <w:rsid w:val="198E504F"/>
    <w:rsid w:val="198E7CC2"/>
    <w:rsid w:val="19935571"/>
    <w:rsid w:val="199628D2"/>
    <w:rsid w:val="1997041E"/>
    <w:rsid w:val="19971F25"/>
    <w:rsid w:val="19977F1D"/>
    <w:rsid w:val="19A055FC"/>
    <w:rsid w:val="19A204F1"/>
    <w:rsid w:val="19A47FBE"/>
    <w:rsid w:val="19A9542D"/>
    <w:rsid w:val="19AF141B"/>
    <w:rsid w:val="19B45EC6"/>
    <w:rsid w:val="19BC434C"/>
    <w:rsid w:val="19C0635C"/>
    <w:rsid w:val="19C546C0"/>
    <w:rsid w:val="19C80E4C"/>
    <w:rsid w:val="19C87A4B"/>
    <w:rsid w:val="19CB0EFE"/>
    <w:rsid w:val="19D83EBC"/>
    <w:rsid w:val="19DC2EF0"/>
    <w:rsid w:val="19E01BE1"/>
    <w:rsid w:val="19E27436"/>
    <w:rsid w:val="19E52BC0"/>
    <w:rsid w:val="19E90F2D"/>
    <w:rsid w:val="19EA250B"/>
    <w:rsid w:val="19EB4C32"/>
    <w:rsid w:val="19F14343"/>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06F30"/>
    <w:rsid w:val="1A4351F7"/>
    <w:rsid w:val="1A4D3567"/>
    <w:rsid w:val="1A5078A1"/>
    <w:rsid w:val="1A552EA6"/>
    <w:rsid w:val="1A574E8B"/>
    <w:rsid w:val="1A5A027E"/>
    <w:rsid w:val="1A5B332D"/>
    <w:rsid w:val="1A5D418F"/>
    <w:rsid w:val="1A604FB0"/>
    <w:rsid w:val="1A667C29"/>
    <w:rsid w:val="1A68714A"/>
    <w:rsid w:val="1A74323E"/>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6E8A"/>
    <w:rsid w:val="1A991640"/>
    <w:rsid w:val="1AA14EDD"/>
    <w:rsid w:val="1AA20A13"/>
    <w:rsid w:val="1AA33EAF"/>
    <w:rsid w:val="1AA4489D"/>
    <w:rsid w:val="1AA964C5"/>
    <w:rsid w:val="1AAC5EBD"/>
    <w:rsid w:val="1AB8464E"/>
    <w:rsid w:val="1AB86D73"/>
    <w:rsid w:val="1ABE6357"/>
    <w:rsid w:val="1AC05FAA"/>
    <w:rsid w:val="1AC51203"/>
    <w:rsid w:val="1AC94503"/>
    <w:rsid w:val="1AC948BA"/>
    <w:rsid w:val="1ACD4850"/>
    <w:rsid w:val="1ACF3E37"/>
    <w:rsid w:val="1AD24EB0"/>
    <w:rsid w:val="1AD506BF"/>
    <w:rsid w:val="1AD54713"/>
    <w:rsid w:val="1AD610E7"/>
    <w:rsid w:val="1AD66CCD"/>
    <w:rsid w:val="1ADE5B96"/>
    <w:rsid w:val="1AE82C66"/>
    <w:rsid w:val="1AED0842"/>
    <w:rsid w:val="1AED74F6"/>
    <w:rsid w:val="1AEE49A8"/>
    <w:rsid w:val="1AF879A4"/>
    <w:rsid w:val="1AFE05D6"/>
    <w:rsid w:val="1B0016C9"/>
    <w:rsid w:val="1B013713"/>
    <w:rsid w:val="1B0821D9"/>
    <w:rsid w:val="1B083805"/>
    <w:rsid w:val="1B0A3A7C"/>
    <w:rsid w:val="1B0D39BA"/>
    <w:rsid w:val="1B10534B"/>
    <w:rsid w:val="1B134104"/>
    <w:rsid w:val="1B153205"/>
    <w:rsid w:val="1B186A7C"/>
    <w:rsid w:val="1B1926CB"/>
    <w:rsid w:val="1B1D7ECE"/>
    <w:rsid w:val="1B265FC9"/>
    <w:rsid w:val="1B342D9E"/>
    <w:rsid w:val="1B3A63E1"/>
    <w:rsid w:val="1B3B1E3D"/>
    <w:rsid w:val="1B3B44BF"/>
    <w:rsid w:val="1B3F232C"/>
    <w:rsid w:val="1B435219"/>
    <w:rsid w:val="1B452832"/>
    <w:rsid w:val="1B55429F"/>
    <w:rsid w:val="1B5C4B10"/>
    <w:rsid w:val="1B676B44"/>
    <w:rsid w:val="1B6913B7"/>
    <w:rsid w:val="1B6B6632"/>
    <w:rsid w:val="1B6F4CAB"/>
    <w:rsid w:val="1B7D6CAD"/>
    <w:rsid w:val="1B8038BA"/>
    <w:rsid w:val="1B806C82"/>
    <w:rsid w:val="1B8474D6"/>
    <w:rsid w:val="1B9009CE"/>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6379A"/>
    <w:rsid w:val="1BD77F25"/>
    <w:rsid w:val="1BD85300"/>
    <w:rsid w:val="1BD93FE1"/>
    <w:rsid w:val="1BE05A00"/>
    <w:rsid w:val="1BE60A89"/>
    <w:rsid w:val="1BED5DF9"/>
    <w:rsid w:val="1BF6094C"/>
    <w:rsid w:val="1BFC4EEB"/>
    <w:rsid w:val="1C055D2A"/>
    <w:rsid w:val="1C086588"/>
    <w:rsid w:val="1C097162"/>
    <w:rsid w:val="1C0A656E"/>
    <w:rsid w:val="1C114C4D"/>
    <w:rsid w:val="1C16147F"/>
    <w:rsid w:val="1C176961"/>
    <w:rsid w:val="1C1C6556"/>
    <w:rsid w:val="1C23366C"/>
    <w:rsid w:val="1C245463"/>
    <w:rsid w:val="1C2D02F8"/>
    <w:rsid w:val="1C3019B6"/>
    <w:rsid w:val="1C327EC7"/>
    <w:rsid w:val="1C376C5A"/>
    <w:rsid w:val="1C393748"/>
    <w:rsid w:val="1C3D1CE9"/>
    <w:rsid w:val="1C3F5739"/>
    <w:rsid w:val="1C41146D"/>
    <w:rsid w:val="1C4404B4"/>
    <w:rsid w:val="1C4863EB"/>
    <w:rsid w:val="1C4A151A"/>
    <w:rsid w:val="1C4A4C0A"/>
    <w:rsid w:val="1C51797A"/>
    <w:rsid w:val="1C532913"/>
    <w:rsid w:val="1C55783B"/>
    <w:rsid w:val="1C597B10"/>
    <w:rsid w:val="1C606999"/>
    <w:rsid w:val="1C65681C"/>
    <w:rsid w:val="1C6611FF"/>
    <w:rsid w:val="1C6D443A"/>
    <w:rsid w:val="1C6E29AB"/>
    <w:rsid w:val="1C6E5EB5"/>
    <w:rsid w:val="1C7026A5"/>
    <w:rsid w:val="1C787478"/>
    <w:rsid w:val="1C7A4B33"/>
    <w:rsid w:val="1C7E7FBA"/>
    <w:rsid w:val="1C861BA5"/>
    <w:rsid w:val="1C87286B"/>
    <w:rsid w:val="1C887739"/>
    <w:rsid w:val="1C8C7365"/>
    <w:rsid w:val="1C8F650A"/>
    <w:rsid w:val="1C946042"/>
    <w:rsid w:val="1C9A58D3"/>
    <w:rsid w:val="1C9D7804"/>
    <w:rsid w:val="1CA86F01"/>
    <w:rsid w:val="1CAA0938"/>
    <w:rsid w:val="1CAB16B9"/>
    <w:rsid w:val="1CAC06B2"/>
    <w:rsid w:val="1CAC48C5"/>
    <w:rsid w:val="1CAF26D0"/>
    <w:rsid w:val="1CB15744"/>
    <w:rsid w:val="1CC448CE"/>
    <w:rsid w:val="1CCA602D"/>
    <w:rsid w:val="1CD02F84"/>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156B58"/>
    <w:rsid w:val="1D2B0F93"/>
    <w:rsid w:val="1D315EEC"/>
    <w:rsid w:val="1D316B5C"/>
    <w:rsid w:val="1D320508"/>
    <w:rsid w:val="1D3914F2"/>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75D4C"/>
    <w:rsid w:val="1E09388F"/>
    <w:rsid w:val="1E0A63E5"/>
    <w:rsid w:val="1E0B3CFF"/>
    <w:rsid w:val="1E0B7097"/>
    <w:rsid w:val="1E122944"/>
    <w:rsid w:val="1E167FA6"/>
    <w:rsid w:val="1E1A488E"/>
    <w:rsid w:val="1E1A5B91"/>
    <w:rsid w:val="1E2133C2"/>
    <w:rsid w:val="1E252837"/>
    <w:rsid w:val="1E2629FA"/>
    <w:rsid w:val="1E291941"/>
    <w:rsid w:val="1E2B5964"/>
    <w:rsid w:val="1E2C1376"/>
    <w:rsid w:val="1E2E2CE1"/>
    <w:rsid w:val="1E2F2116"/>
    <w:rsid w:val="1E300851"/>
    <w:rsid w:val="1E301FEE"/>
    <w:rsid w:val="1E343DC7"/>
    <w:rsid w:val="1E3C5518"/>
    <w:rsid w:val="1E3C7075"/>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1782"/>
    <w:rsid w:val="1EB85929"/>
    <w:rsid w:val="1EB9671A"/>
    <w:rsid w:val="1EBA66FA"/>
    <w:rsid w:val="1EBC68DA"/>
    <w:rsid w:val="1EBF4CD5"/>
    <w:rsid w:val="1EC063B9"/>
    <w:rsid w:val="1ECE1B03"/>
    <w:rsid w:val="1ECE723E"/>
    <w:rsid w:val="1ED55822"/>
    <w:rsid w:val="1EE31B79"/>
    <w:rsid w:val="1EE54D64"/>
    <w:rsid w:val="1EE82B1F"/>
    <w:rsid w:val="1EE83BBB"/>
    <w:rsid w:val="1EEA0B27"/>
    <w:rsid w:val="1EEC1AE0"/>
    <w:rsid w:val="1EEC3E9A"/>
    <w:rsid w:val="1EEE5F5C"/>
    <w:rsid w:val="1EF15EF6"/>
    <w:rsid w:val="1EF47C22"/>
    <w:rsid w:val="1EFB41E9"/>
    <w:rsid w:val="1F0271AF"/>
    <w:rsid w:val="1F072262"/>
    <w:rsid w:val="1F0A6660"/>
    <w:rsid w:val="1F0E6452"/>
    <w:rsid w:val="1F113D7D"/>
    <w:rsid w:val="1F1B3A11"/>
    <w:rsid w:val="1F2C4DDD"/>
    <w:rsid w:val="1F2D7DE6"/>
    <w:rsid w:val="1F2E587C"/>
    <w:rsid w:val="1F3965C5"/>
    <w:rsid w:val="1F3F7CB8"/>
    <w:rsid w:val="1F4446D7"/>
    <w:rsid w:val="1F454DA9"/>
    <w:rsid w:val="1F477D89"/>
    <w:rsid w:val="1F504A65"/>
    <w:rsid w:val="1F507664"/>
    <w:rsid w:val="1F544B9B"/>
    <w:rsid w:val="1F576A45"/>
    <w:rsid w:val="1F5D4F6E"/>
    <w:rsid w:val="1F6037D1"/>
    <w:rsid w:val="1F61588F"/>
    <w:rsid w:val="1F637F5A"/>
    <w:rsid w:val="1F6B283A"/>
    <w:rsid w:val="1F710118"/>
    <w:rsid w:val="1F764C52"/>
    <w:rsid w:val="1F792C3A"/>
    <w:rsid w:val="1F7C64ED"/>
    <w:rsid w:val="1F802382"/>
    <w:rsid w:val="1F8C04E7"/>
    <w:rsid w:val="1F9A7DD3"/>
    <w:rsid w:val="1FA328F8"/>
    <w:rsid w:val="1FA35CF7"/>
    <w:rsid w:val="1FAA54F7"/>
    <w:rsid w:val="1FB04C74"/>
    <w:rsid w:val="1FB234B9"/>
    <w:rsid w:val="1FB37310"/>
    <w:rsid w:val="1FB966AC"/>
    <w:rsid w:val="1FC144C4"/>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23480"/>
    <w:rsid w:val="2015765B"/>
    <w:rsid w:val="201629C6"/>
    <w:rsid w:val="20173126"/>
    <w:rsid w:val="201C0D40"/>
    <w:rsid w:val="20256BF3"/>
    <w:rsid w:val="202904CB"/>
    <w:rsid w:val="202A66BB"/>
    <w:rsid w:val="202E1138"/>
    <w:rsid w:val="203971E9"/>
    <w:rsid w:val="204821FF"/>
    <w:rsid w:val="204D6F97"/>
    <w:rsid w:val="20507F06"/>
    <w:rsid w:val="20577277"/>
    <w:rsid w:val="20594BEA"/>
    <w:rsid w:val="205A335D"/>
    <w:rsid w:val="205C388F"/>
    <w:rsid w:val="20633817"/>
    <w:rsid w:val="206F1C3E"/>
    <w:rsid w:val="207A7253"/>
    <w:rsid w:val="207D2005"/>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87136"/>
    <w:rsid w:val="20BB4E88"/>
    <w:rsid w:val="20BB5F07"/>
    <w:rsid w:val="20BD7447"/>
    <w:rsid w:val="20C03C60"/>
    <w:rsid w:val="20C215F3"/>
    <w:rsid w:val="20C43B9F"/>
    <w:rsid w:val="20C71E83"/>
    <w:rsid w:val="20C976CD"/>
    <w:rsid w:val="20CA278B"/>
    <w:rsid w:val="20CF43B0"/>
    <w:rsid w:val="20D50E20"/>
    <w:rsid w:val="20D64996"/>
    <w:rsid w:val="20D717F1"/>
    <w:rsid w:val="20DB4340"/>
    <w:rsid w:val="20E30CFA"/>
    <w:rsid w:val="20EF51C8"/>
    <w:rsid w:val="20F05924"/>
    <w:rsid w:val="20F13F32"/>
    <w:rsid w:val="20F453F7"/>
    <w:rsid w:val="20F54434"/>
    <w:rsid w:val="20F627FE"/>
    <w:rsid w:val="20F81429"/>
    <w:rsid w:val="20FC1C52"/>
    <w:rsid w:val="20FD6D18"/>
    <w:rsid w:val="20FE48A8"/>
    <w:rsid w:val="20FE4BBD"/>
    <w:rsid w:val="2103608A"/>
    <w:rsid w:val="210E5EC2"/>
    <w:rsid w:val="210F68A1"/>
    <w:rsid w:val="21133C1E"/>
    <w:rsid w:val="211D790C"/>
    <w:rsid w:val="2120090B"/>
    <w:rsid w:val="212720E3"/>
    <w:rsid w:val="212815C7"/>
    <w:rsid w:val="212A2ADC"/>
    <w:rsid w:val="212B1845"/>
    <w:rsid w:val="212C40DA"/>
    <w:rsid w:val="212D0011"/>
    <w:rsid w:val="212E53BC"/>
    <w:rsid w:val="21304188"/>
    <w:rsid w:val="213210D1"/>
    <w:rsid w:val="213B5D42"/>
    <w:rsid w:val="213D76B7"/>
    <w:rsid w:val="213D7BA2"/>
    <w:rsid w:val="2143692E"/>
    <w:rsid w:val="21452AE2"/>
    <w:rsid w:val="214822FE"/>
    <w:rsid w:val="2148417B"/>
    <w:rsid w:val="214D15D4"/>
    <w:rsid w:val="21553ADF"/>
    <w:rsid w:val="21580349"/>
    <w:rsid w:val="215F24F2"/>
    <w:rsid w:val="21633F9B"/>
    <w:rsid w:val="21641AC3"/>
    <w:rsid w:val="21650C69"/>
    <w:rsid w:val="216C6B87"/>
    <w:rsid w:val="2175003E"/>
    <w:rsid w:val="217A71B3"/>
    <w:rsid w:val="217C1F99"/>
    <w:rsid w:val="21823F61"/>
    <w:rsid w:val="218414ED"/>
    <w:rsid w:val="218F158A"/>
    <w:rsid w:val="21927FFF"/>
    <w:rsid w:val="219354AA"/>
    <w:rsid w:val="2196164B"/>
    <w:rsid w:val="2196788C"/>
    <w:rsid w:val="21B34081"/>
    <w:rsid w:val="21B76CF4"/>
    <w:rsid w:val="21BC401D"/>
    <w:rsid w:val="21BE61E3"/>
    <w:rsid w:val="21BF1C5A"/>
    <w:rsid w:val="21C618F4"/>
    <w:rsid w:val="21CC6B00"/>
    <w:rsid w:val="21CC7D65"/>
    <w:rsid w:val="21D33066"/>
    <w:rsid w:val="21D469A5"/>
    <w:rsid w:val="21D73B21"/>
    <w:rsid w:val="21DC04F8"/>
    <w:rsid w:val="21DC4656"/>
    <w:rsid w:val="21E354ED"/>
    <w:rsid w:val="21E4011A"/>
    <w:rsid w:val="21E5678C"/>
    <w:rsid w:val="21E8009D"/>
    <w:rsid w:val="21EC66F9"/>
    <w:rsid w:val="21F27385"/>
    <w:rsid w:val="21F477AF"/>
    <w:rsid w:val="21F80754"/>
    <w:rsid w:val="21FD1F93"/>
    <w:rsid w:val="22070B91"/>
    <w:rsid w:val="22122053"/>
    <w:rsid w:val="221500FE"/>
    <w:rsid w:val="22160E61"/>
    <w:rsid w:val="22170083"/>
    <w:rsid w:val="22191667"/>
    <w:rsid w:val="221E3F06"/>
    <w:rsid w:val="221E4044"/>
    <w:rsid w:val="2222364F"/>
    <w:rsid w:val="222E4B36"/>
    <w:rsid w:val="222F05E6"/>
    <w:rsid w:val="22317A3E"/>
    <w:rsid w:val="22330CD8"/>
    <w:rsid w:val="22335E59"/>
    <w:rsid w:val="22406F17"/>
    <w:rsid w:val="22447536"/>
    <w:rsid w:val="224744C4"/>
    <w:rsid w:val="224B0DB4"/>
    <w:rsid w:val="22550A45"/>
    <w:rsid w:val="22583396"/>
    <w:rsid w:val="225A3E70"/>
    <w:rsid w:val="225B121F"/>
    <w:rsid w:val="22663911"/>
    <w:rsid w:val="22677532"/>
    <w:rsid w:val="226D0C21"/>
    <w:rsid w:val="226F2BB2"/>
    <w:rsid w:val="22721973"/>
    <w:rsid w:val="22721E20"/>
    <w:rsid w:val="22882272"/>
    <w:rsid w:val="229C146B"/>
    <w:rsid w:val="229F5B62"/>
    <w:rsid w:val="22A94C36"/>
    <w:rsid w:val="22B80B17"/>
    <w:rsid w:val="22B90065"/>
    <w:rsid w:val="22C03051"/>
    <w:rsid w:val="22C56511"/>
    <w:rsid w:val="22C715DD"/>
    <w:rsid w:val="22C85838"/>
    <w:rsid w:val="22C925A9"/>
    <w:rsid w:val="22CF79CB"/>
    <w:rsid w:val="22D25F3B"/>
    <w:rsid w:val="22D66DAD"/>
    <w:rsid w:val="22D74794"/>
    <w:rsid w:val="22DE51F5"/>
    <w:rsid w:val="22E36089"/>
    <w:rsid w:val="22EA7FB3"/>
    <w:rsid w:val="22EB029A"/>
    <w:rsid w:val="22EB4780"/>
    <w:rsid w:val="22ED1151"/>
    <w:rsid w:val="22EF3AA1"/>
    <w:rsid w:val="22F0339E"/>
    <w:rsid w:val="22F260B3"/>
    <w:rsid w:val="23014B3D"/>
    <w:rsid w:val="23075061"/>
    <w:rsid w:val="230A64F4"/>
    <w:rsid w:val="231140A7"/>
    <w:rsid w:val="23136A91"/>
    <w:rsid w:val="2314181E"/>
    <w:rsid w:val="2317727F"/>
    <w:rsid w:val="232020A5"/>
    <w:rsid w:val="23247DA8"/>
    <w:rsid w:val="23263DF4"/>
    <w:rsid w:val="232A727C"/>
    <w:rsid w:val="232C5B93"/>
    <w:rsid w:val="232D6324"/>
    <w:rsid w:val="23301166"/>
    <w:rsid w:val="233072E9"/>
    <w:rsid w:val="23357DCC"/>
    <w:rsid w:val="23366A59"/>
    <w:rsid w:val="233D00E7"/>
    <w:rsid w:val="23434E07"/>
    <w:rsid w:val="23492436"/>
    <w:rsid w:val="23550E3B"/>
    <w:rsid w:val="2358023D"/>
    <w:rsid w:val="235F2C5A"/>
    <w:rsid w:val="235F75E7"/>
    <w:rsid w:val="23607971"/>
    <w:rsid w:val="23727A3F"/>
    <w:rsid w:val="237A38E4"/>
    <w:rsid w:val="237A6D5C"/>
    <w:rsid w:val="237F1315"/>
    <w:rsid w:val="237F27A7"/>
    <w:rsid w:val="2381755C"/>
    <w:rsid w:val="23862749"/>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3F909A6"/>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706349"/>
    <w:rsid w:val="24754CB4"/>
    <w:rsid w:val="24766F09"/>
    <w:rsid w:val="247A0B6D"/>
    <w:rsid w:val="247B1256"/>
    <w:rsid w:val="247E026A"/>
    <w:rsid w:val="24821C44"/>
    <w:rsid w:val="24822A2F"/>
    <w:rsid w:val="248B587E"/>
    <w:rsid w:val="248D1D37"/>
    <w:rsid w:val="249149C6"/>
    <w:rsid w:val="24932C94"/>
    <w:rsid w:val="24965CCD"/>
    <w:rsid w:val="249800C5"/>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42D82"/>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4E3FF5"/>
    <w:rsid w:val="25512471"/>
    <w:rsid w:val="255513D2"/>
    <w:rsid w:val="255A50C8"/>
    <w:rsid w:val="255B49B3"/>
    <w:rsid w:val="255C1932"/>
    <w:rsid w:val="255E294F"/>
    <w:rsid w:val="25692DFE"/>
    <w:rsid w:val="256C3D8F"/>
    <w:rsid w:val="256D6BF2"/>
    <w:rsid w:val="257212E4"/>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3316"/>
    <w:rsid w:val="25BA5FD6"/>
    <w:rsid w:val="25BC5A7D"/>
    <w:rsid w:val="25BD01B1"/>
    <w:rsid w:val="25C27A37"/>
    <w:rsid w:val="25C338EC"/>
    <w:rsid w:val="25C613D4"/>
    <w:rsid w:val="25C722A0"/>
    <w:rsid w:val="25CA4650"/>
    <w:rsid w:val="25CD5887"/>
    <w:rsid w:val="25D2700D"/>
    <w:rsid w:val="25D37D50"/>
    <w:rsid w:val="25D80360"/>
    <w:rsid w:val="25DA613E"/>
    <w:rsid w:val="25DE7808"/>
    <w:rsid w:val="25E10B12"/>
    <w:rsid w:val="25E6527D"/>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A2490"/>
    <w:rsid w:val="268D7063"/>
    <w:rsid w:val="2690371C"/>
    <w:rsid w:val="26916DB8"/>
    <w:rsid w:val="269837EF"/>
    <w:rsid w:val="269E794D"/>
    <w:rsid w:val="26A84125"/>
    <w:rsid w:val="26AF7EB1"/>
    <w:rsid w:val="26B11AEC"/>
    <w:rsid w:val="26B7502F"/>
    <w:rsid w:val="26B82CF0"/>
    <w:rsid w:val="26B8558F"/>
    <w:rsid w:val="26C03942"/>
    <w:rsid w:val="26CF27C0"/>
    <w:rsid w:val="26CF56E4"/>
    <w:rsid w:val="26D07CC0"/>
    <w:rsid w:val="26D27F3B"/>
    <w:rsid w:val="26E535DE"/>
    <w:rsid w:val="26F0116E"/>
    <w:rsid w:val="26F62BE0"/>
    <w:rsid w:val="27007DB1"/>
    <w:rsid w:val="27023FD8"/>
    <w:rsid w:val="270268FC"/>
    <w:rsid w:val="270A4A11"/>
    <w:rsid w:val="27115F5E"/>
    <w:rsid w:val="27122660"/>
    <w:rsid w:val="27131A32"/>
    <w:rsid w:val="271438F4"/>
    <w:rsid w:val="271441C6"/>
    <w:rsid w:val="27181BBE"/>
    <w:rsid w:val="272201E2"/>
    <w:rsid w:val="27222347"/>
    <w:rsid w:val="27261FD2"/>
    <w:rsid w:val="272E2378"/>
    <w:rsid w:val="27321F5C"/>
    <w:rsid w:val="273C76EB"/>
    <w:rsid w:val="273E15AB"/>
    <w:rsid w:val="274159F7"/>
    <w:rsid w:val="27492EA8"/>
    <w:rsid w:val="274B09CE"/>
    <w:rsid w:val="27523FF3"/>
    <w:rsid w:val="275269EE"/>
    <w:rsid w:val="2755572E"/>
    <w:rsid w:val="276010D4"/>
    <w:rsid w:val="27614F78"/>
    <w:rsid w:val="27653B8D"/>
    <w:rsid w:val="27694F62"/>
    <w:rsid w:val="276B0663"/>
    <w:rsid w:val="276B607D"/>
    <w:rsid w:val="276C47FF"/>
    <w:rsid w:val="2773738D"/>
    <w:rsid w:val="277973C8"/>
    <w:rsid w:val="27880564"/>
    <w:rsid w:val="278C4BFF"/>
    <w:rsid w:val="278E5245"/>
    <w:rsid w:val="279025EE"/>
    <w:rsid w:val="27924A6D"/>
    <w:rsid w:val="27992850"/>
    <w:rsid w:val="27A44BB8"/>
    <w:rsid w:val="27A5378B"/>
    <w:rsid w:val="27AA4362"/>
    <w:rsid w:val="27AF12EF"/>
    <w:rsid w:val="27AF29BE"/>
    <w:rsid w:val="27B47525"/>
    <w:rsid w:val="27BF67BA"/>
    <w:rsid w:val="27C04AAA"/>
    <w:rsid w:val="27C07D92"/>
    <w:rsid w:val="27C334FA"/>
    <w:rsid w:val="27C60A21"/>
    <w:rsid w:val="27D021D8"/>
    <w:rsid w:val="27D54E77"/>
    <w:rsid w:val="27D65DE5"/>
    <w:rsid w:val="27D7429E"/>
    <w:rsid w:val="27DC7DE0"/>
    <w:rsid w:val="27DE1BFF"/>
    <w:rsid w:val="27E12983"/>
    <w:rsid w:val="27E44357"/>
    <w:rsid w:val="27E86387"/>
    <w:rsid w:val="27EA32D3"/>
    <w:rsid w:val="27EB75EF"/>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3C224C"/>
    <w:rsid w:val="28410CFF"/>
    <w:rsid w:val="284A66D7"/>
    <w:rsid w:val="284D26F7"/>
    <w:rsid w:val="284D37AD"/>
    <w:rsid w:val="284F05FD"/>
    <w:rsid w:val="28532EFE"/>
    <w:rsid w:val="28590308"/>
    <w:rsid w:val="285D6C2F"/>
    <w:rsid w:val="28607CE1"/>
    <w:rsid w:val="286F63D7"/>
    <w:rsid w:val="28803000"/>
    <w:rsid w:val="2884313F"/>
    <w:rsid w:val="28894E5C"/>
    <w:rsid w:val="288956F5"/>
    <w:rsid w:val="288D263D"/>
    <w:rsid w:val="28931C39"/>
    <w:rsid w:val="289453F5"/>
    <w:rsid w:val="28953D90"/>
    <w:rsid w:val="28954BFC"/>
    <w:rsid w:val="289F019F"/>
    <w:rsid w:val="289F51C6"/>
    <w:rsid w:val="28A66A75"/>
    <w:rsid w:val="28A7347C"/>
    <w:rsid w:val="28A9531B"/>
    <w:rsid w:val="28A95880"/>
    <w:rsid w:val="28BC55B3"/>
    <w:rsid w:val="28BF59E6"/>
    <w:rsid w:val="28C14F11"/>
    <w:rsid w:val="28CE5AB8"/>
    <w:rsid w:val="28CF0263"/>
    <w:rsid w:val="28D7552B"/>
    <w:rsid w:val="28D773A2"/>
    <w:rsid w:val="28E069B4"/>
    <w:rsid w:val="28E17E2C"/>
    <w:rsid w:val="28E44161"/>
    <w:rsid w:val="28E474F2"/>
    <w:rsid w:val="28F15C5D"/>
    <w:rsid w:val="28FA1728"/>
    <w:rsid w:val="28FB61AA"/>
    <w:rsid w:val="28FD0175"/>
    <w:rsid w:val="290301B6"/>
    <w:rsid w:val="29046B1A"/>
    <w:rsid w:val="29070F98"/>
    <w:rsid w:val="290E7E3D"/>
    <w:rsid w:val="290F5FD5"/>
    <w:rsid w:val="2911001D"/>
    <w:rsid w:val="291671BE"/>
    <w:rsid w:val="291E162B"/>
    <w:rsid w:val="291F06CA"/>
    <w:rsid w:val="29257E18"/>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6090F"/>
    <w:rsid w:val="29672F7E"/>
    <w:rsid w:val="2972757D"/>
    <w:rsid w:val="2978500B"/>
    <w:rsid w:val="29793538"/>
    <w:rsid w:val="2979571D"/>
    <w:rsid w:val="297A488F"/>
    <w:rsid w:val="297E42BA"/>
    <w:rsid w:val="298201B8"/>
    <w:rsid w:val="29920128"/>
    <w:rsid w:val="299B07C3"/>
    <w:rsid w:val="299B6E36"/>
    <w:rsid w:val="29A57939"/>
    <w:rsid w:val="29A646F0"/>
    <w:rsid w:val="29AB1C0C"/>
    <w:rsid w:val="29AB7532"/>
    <w:rsid w:val="29AC5E75"/>
    <w:rsid w:val="29AC64D3"/>
    <w:rsid w:val="29B508BB"/>
    <w:rsid w:val="29B772EE"/>
    <w:rsid w:val="29B92091"/>
    <w:rsid w:val="29BC3896"/>
    <w:rsid w:val="29BD4006"/>
    <w:rsid w:val="29CA48E3"/>
    <w:rsid w:val="29CF3CF1"/>
    <w:rsid w:val="29D330CD"/>
    <w:rsid w:val="29D905A6"/>
    <w:rsid w:val="29E705C4"/>
    <w:rsid w:val="29EB5B61"/>
    <w:rsid w:val="29EF69C0"/>
    <w:rsid w:val="29F143B2"/>
    <w:rsid w:val="29F15ECD"/>
    <w:rsid w:val="29F50529"/>
    <w:rsid w:val="29F6357B"/>
    <w:rsid w:val="29F64D54"/>
    <w:rsid w:val="2A0011E1"/>
    <w:rsid w:val="2A027DC4"/>
    <w:rsid w:val="2A0A08C1"/>
    <w:rsid w:val="2A0A3233"/>
    <w:rsid w:val="2A0C03D1"/>
    <w:rsid w:val="2A0D3CE8"/>
    <w:rsid w:val="2A127934"/>
    <w:rsid w:val="2A173EF4"/>
    <w:rsid w:val="2A22388A"/>
    <w:rsid w:val="2A241EE5"/>
    <w:rsid w:val="2A277252"/>
    <w:rsid w:val="2A3B2565"/>
    <w:rsid w:val="2A3B3E69"/>
    <w:rsid w:val="2A3F15E1"/>
    <w:rsid w:val="2A3F721F"/>
    <w:rsid w:val="2A451545"/>
    <w:rsid w:val="2A467378"/>
    <w:rsid w:val="2A4B11DF"/>
    <w:rsid w:val="2A4F54C7"/>
    <w:rsid w:val="2A597C59"/>
    <w:rsid w:val="2A664217"/>
    <w:rsid w:val="2A6E2A78"/>
    <w:rsid w:val="2A785F0C"/>
    <w:rsid w:val="2A792BFF"/>
    <w:rsid w:val="2A8050E9"/>
    <w:rsid w:val="2A805538"/>
    <w:rsid w:val="2A917182"/>
    <w:rsid w:val="2A920759"/>
    <w:rsid w:val="2A974BCB"/>
    <w:rsid w:val="2A992F8D"/>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37D0B"/>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A66D7"/>
    <w:rsid w:val="2BED6E21"/>
    <w:rsid w:val="2BEE73AA"/>
    <w:rsid w:val="2BEF1332"/>
    <w:rsid w:val="2BF37482"/>
    <w:rsid w:val="2BF845BA"/>
    <w:rsid w:val="2BFC604E"/>
    <w:rsid w:val="2C014C9D"/>
    <w:rsid w:val="2C04740C"/>
    <w:rsid w:val="2C0504F8"/>
    <w:rsid w:val="2C0577B1"/>
    <w:rsid w:val="2C14690F"/>
    <w:rsid w:val="2C1E5A47"/>
    <w:rsid w:val="2C2E598B"/>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B5966"/>
    <w:rsid w:val="2C7E7AD5"/>
    <w:rsid w:val="2C8928F0"/>
    <w:rsid w:val="2C8C31C6"/>
    <w:rsid w:val="2C923F36"/>
    <w:rsid w:val="2C93579A"/>
    <w:rsid w:val="2C961AF8"/>
    <w:rsid w:val="2C9756BF"/>
    <w:rsid w:val="2CA14EDD"/>
    <w:rsid w:val="2CA867F5"/>
    <w:rsid w:val="2CA92BBD"/>
    <w:rsid w:val="2CAD5B03"/>
    <w:rsid w:val="2CAE3B13"/>
    <w:rsid w:val="2CAF788B"/>
    <w:rsid w:val="2CC708B0"/>
    <w:rsid w:val="2CC712E9"/>
    <w:rsid w:val="2CCA6712"/>
    <w:rsid w:val="2CD30CE3"/>
    <w:rsid w:val="2CD37602"/>
    <w:rsid w:val="2CD95E24"/>
    <w:rsid w:val="2CDA3D5D"/>
    <w:rsid w:val="2CE06AAF"/>
    <w:rsid w:val="2CEA515A"/>
    <w:rsid w:val="2CEE15E1"/>
    <w:rsid w:val="2CF06A3C"/>
    <w:rsid w:val="2CF26F5B"/>
    <w:rsid w:val="2CF30344"/>
    <w:rsid w:val="2CFF086A"/>
    <w:rsid w:val="2D064B26"/>
    <w:rsid w:val="2D086932"/>
    <w:rsid w:val="2D104632"/>
    <w:rsid w:val="2D1664DB"/>
    <w:rsid w:val="2D3072FE"/>
    <w:rsid w:val="2D31028B"/>
    <w:rsid w:val="2D356F9E"/>
    <w:rsid w:val="2D4151E1"/>
    <w:rsid w:val="2D416432"/>
    <w:rsid w:val="2D420181"/>
    <w:rsid w:val="2D4537ED"/>
    <w:rsid w:val="2D487A88"/>
    <w:rsid w:val="2D51110B"/>
    <w:rsid w:val="2D51656F"/>
    <w:rsid w:val="2D591BF5"/>
    <w:rsid w:val="2D5F3B18"/>
    <w:rsid w:val="2D61022F"/>
    <w:rsid w:val="2D633FFF"/>
    <w:rsid w:val="2D6C388D"/>
    <w:rsid w:val="2D716D64"/>
    <w:rsid w:val="2D74403E"/>
    <w:rsid w:val="2D786928"/>
    <w:rsid w:val="2D797FB2"/>
    <w:rsid w:val="2D7E3395"/>
    <w:rsid w:val="2D8B2F25"/>
    <w:rsid w:val="2D8D3440"/>
    <w:rsid w:val="2D946AA5"/>
    <w:rsid w:val="2D974D23"/>
    <w:rsid w:val="2D9B3D20"/>
    <w:rsid w:val="2D9D0E1B"/>
    <w:rsid w:val="2DA25C72"/>
    <w:rsid w:val="2DA3399B"/>
    <w:rsid w:val="2DA411FC"/>
    <w:rsid w:val="2DA62658"/>
    <w:rsid w:val="2DAC4636"/>
    <w:rsid w:val="2DAD0982"/>
    <w:rsid w:val="2DAF5D1C"/>
    <w:rsid w:val="2DB10A22"/>
    <w:rsid w:val="2DB20C2E"/>
    <w:rsid w:val="2DB46B3D"/>
    <w:rsid w:val="2DB52669"/>
    <w:rsid w:val="2DBE0579"/>
    <w:rsid w:val="2DBE7D96"/>
    <w:rsid w:val="2DC35F5D"/>
    <w:rsid w:val="2DC37A36"/>
    <w:rsid w:val="2DC47A96"/>
    <w:rsid w:val="2DD00262"/>
    <w:rsid w:val="2DD16981"/>
    <w:rsid w:val="2DDA5820"/>
    <w:rsid w:val="2DDB4B6D"/>
    <w:rsid w:val="2DDF702F"/>
    <w:rsid w:val="2DEF02AF"/>
    <w:rsid w:val="2DF45468"/>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23AD6"/>
    <w:rsid w:val="2E353422"/>
    <w:rsid w:val="2E380991"/>
    <w:rsid w:val="2E3C6173"/>
    <w:rsid w:val="2E4241BC"/>
    <w:rsid w:val="2E4E4DBD"/>
    <w:rsid w:val="2E5024D8"/>
    <w:rsid w:val="2E522352"/>
    <w:rsid w:val="2E55304D"/>
    <w:rsid w:val="2E5F3B5E"/>
    <w:rsid w:val="2E602D70"/>
    <w:rsid w:val="2E643BF9"/>
    <w:rsid w:val="2E680509"/>
    <w:rsid w:val="2E89270D"/>
    <w:rsid w:val="2E8A2011"/>
    <w:rsid w:val="2E8A68CC"/>
    <w:rsid w:val="2E930996"/>
    <w:rsid w:val="2EA469A3"/>
    <w:rsid w:val="2EAE08A6"/>
    <w:rsid w:val="2EBD6A69"/>
    <w:rsid w:val="2EBF6A8F"/>
    <w:rsid w:val="2EC53E66"/>
    <w:rsid w:val="2ECA785E"/>
    <w:rsid w:val="2ECE63AB"/>
    <w:rsid w:val="2ECF267B"/>
    <w:rsid w:val="2ED05311"/>
    <w:rsid w:val="2ED26976"/>
    <w:rsid w:val="2EE21F9D"/>
    <w:rsid w:val="2EE4485A"/>
    <w:rsid w:val="2EE52A03"/>
    <w:rsid w:val="2EE55358"/>
    <w:rsid w:val="2EE72F28"/>
    <w:rsid w:val="2EEB1791"/>
    <w:rsid w:val="2EEC0A1E"/>
    <w:rsid w:val="2EEE7023"/>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85092"/>
    <w:rsid w:val="2F2A538F"/>
    <w:rsid w:val="2F2C5D09"/>
    <w:rsid w:val="2F3D200F"/>
    <w:rsid w:val="2F3E3C94"/>
    <w:rsid w:val="2F402D6C"/>
    <w:rsid w:val="2F423C6B"/>
    <w:rsid w:val="2F4457D7"/>
    <w:rsid w:val="2F456FE2"/>
    <w:rsid w:val="2F4575D0"/>
    <w:rsid w:val="2F463C9F"/>
    <w:rsid w:val="2F494BC9"/>
    <w:rsid w:val="2F4E31E9"/>
    <w:rsid w:val="2F4E4C44"/>
    <w:rsid w:val="2F4F0F17"/>
    <w:rsid w:val="2F4F2BD8"/>
    <w:rsid w:val="2F521674"/>
    <w:rsid w:val="2F531387"/>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D73D5F"/>
    <w:rsid w:val="2FD86D45"/>
    <w:rsid w:val="2FDF68B6"/>
    <w:rsid w:val="2FE424EB"/>
    <w:rsid w:val="2FE465CC"/>
    <w:rsid w:val="2FED56B0"/>
    <w:rsid w:val="2FF657DC"/>
    <w:rsid w:val="2FF65911"/>
    <w:rsid w:val="2FFA4EB6"/>
    <w:rsid w:val="300E5103"/>
    <w:rsid w:val="30132A83"/>
    <w:rsid w:val="30243ECE"/>
    <w:rsid w:val="302E2308"/>
    <w:rsid w:val="30341F02"/>
    <w:rsid w:val="303A40DD"/>
    <w:rsid w:val="304173D0"/>
    <w:rsid w:val="30442620"/>
    <w:rsid w:val="304704BF"/>
    <w:rsid w:val="304B6BB7"/>
    <w:rsid w:val="304C4503"/>
    <w:rsid w:val="30526AC1"/>
    <w:rsid w:val="30530FD9"/>
    <w:rsid w:val="3054190C"/>
    <w:rsid w:val="305568C5"/>
    <w:rsid w:val="305D124C"/>
    <w:rsid w:val="305D3CBC"/>
    <w:rsid w:val="305F6237"/>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61214"/>
    <w:rsid w:val="30D914CE"/>
    <w:rsid w:val="30DD5BC9"/>
    <w:rsid w:val="30E31EEB"/>
    <w:rsid w:val="30E64CA0"/>
    <w:rsid w:val="30ED7025"/>
    <w:rsid w:val="30EE6C60"/>
    <w:rsid w:val="30F653E9"/>
    <w:rsid w:val="31081AAA"/>
    <w:rsid w:val="310C4D9C"/>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41D1E"/>
    <w:rsid w:val="3174713F"/>
    <w:rsid w:val="31750FCD"/>
    <w:rsid w:val="3179366A"/>
    <w:rsid w:val="317A104A"/>
    <w:rsid w:val="317B7A41"/>
    <w:rsid w:val="317F3FBE"/>
    <w:rsid w:val="31825FC2"/>
    <w:rsid w:val="31854832"/>
    <w:rsid w:val="31884274"/>
    <w:rsid w:val="318949FD"/>
    <w:rsid w:val="31896D6B"/>
    <w:rsid w:val="318B0F4D"/>
    <w:rsid w:val="318E5084"/>
    <w:rsid w:val="318E6312"/>
    <w:rsid w:val="31913100"/>
    <w:rsid w:val="319B2E7D"/>
    <w:rsid w:val="31A40D7A"/>
    <w:rsid w:val="31AD726B"/>
    <w:rsid w:val="31AF5A33"/>
    <w:rsid w:val="31B17FEA"/>
    <w:rsid w:val="31B76813"/>
    <w:rsid w:val="31C0715C"/>
    <w:rsid w:val="31C14F32"/>
    <w:rsid w:val="31C62574"/>
    <w:rsid w:val="31CB3016"/>
    <w:rsid w:val="31CC401D"/>
    <w:rsid w:val="31CE6F3E"/>
    <w:rsid w:val="31D51C36"/>
    <w:rsid w:val="31D540D9"/>
    <w:rsid w:val="31D93CB2"/>
    <w:rsid w:val="31E075F6"/>
    <w:rsid w:val="31E21D69"/>
    <w:rsid w:val="31E52C31"/>
    <w:rsid w:val="31E76A1E"/>
    <w:rsid w:val="31E83EAB"/>
    <w:rsid w:val="31EE7E78"/>
    <w:rsid w:val="31F97DDD"/>
    <w:rsid w:val="31FD1030"/>
    <w:rsid w:val="32001F8B"/>
    <w:rsid w:val="3202396E"/>
    <w:rsid w:val="32044B56"/>
    <w:rsid w:val="32044F27"/>
    <w:rsid w:val="320B5911"/>
    <w:rsid w:val="3217684D"/>
    <w:rsid w:val="3219669D"/>
    <w:rsid w:val="321C63D7"/>
    <w:rsid w:val="321F3F88"/>
    <w:rsid w:val="3221279F"/>
    <w:rsid w:val="32247BF9"/>
    <w:rsid w:val="32255778"/>
    <w:rsid w:val="32312593"/>
    <w:rsid w:val="323159FD"/>
    <w:rsid w:val="32345AB7"/>
    <w:rsid w:val="323716E7"/>
    <w:rsid w:val="323A4444"/>
    <w:rsid w:val="323E67E3"/>
    <w:rsid w:val="324252A3"/>
    <w:rsid w:val="32484AB1"/>
    <w:rsid w:val="324A0310"/>
    <w:rsid w:val="324F7E77"/>
    <w:rsid w:val="32524AFD"/>
    <w:rsid w:val="32530870"/>
    <w:rsid w:val="325900F4"/>
    <w:rsid w:val="325A0237"/>
    <w:rsid w:val="325A2A41"/>
    <w:rsid w:val="325C155E"/>
    <w:rsid w:val="325E2BBD"/>
    <w:rsid w:val="325F6322"/>
    <w:rsid w:val="32603716"/>
    <w:rsid w:val="32667CE0"/>
    <w:rsid w:val="326B5802"/>
    <w:rsid w:val="326C6CF3"/>
    <w:rsid w:val="32732916"/>
    <w:rsid w:val="3279408A"/>
    <w:rsid w:val="327C3D6F"/>
    <w:rsid w:val="327E4D99"/>
    <w:rsid w:val="328D3719"/>
    <w:rsid w:val="328F4974"/>
    <w:rsid w:val="32A67B6D"/>
    <w:rsid w:val="32A67BA6"/>
    <w:rsid w:val="32AF69B0"/>
    <w:rsid w:val="32B21E52"/>
    <w:rsid w:val="32B30DFB"/>
    <w:rsid w:val="32BA0F20"/>
    <w:rsid w:val="32BB58A2"/>
    <w:rsid w:val="32C018D2"/>
    <w:rsid w:val="32C81855"/>
    <w:rsid w:val="32CA675E"/>
    <w:rsid w:val="32CF3BEC"/>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2645BF"/>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843738"/>
    <w:rsid w:val="33975AE0"/>
    <w:rsid w:val="339A4201"/>
    <w:rsid w:val="33AA3EDC"/>
    <w:rsid w:val="33B3256A"/>
    <w:rsid w:val="33B94573"/>
    <w:rsid w:val="33BC1F56"/>
    <w:rsid w:val="33C40058"/>
    <w:rsid w:val="33C748AE"/>
    <w:rsid w:val="33C75909"/>
    <w:rsid w:val="33CE2B98"/>
    <w:rsid w:val="33D62E30"/>
    <w:rsid w:val="33DA7799"/>
    <w:rsid w:val="33DB47C4"/>
    <w:rsid w:val="33DE5FA1"/>
    <w:rsid w:val="33DF593B"/>
    <w:rsid w:val="33E64517"/>
    <w:rsid w:val="33E70260"/>
    <w:rsid w:val="33EB5F44"/>
    <w:rsid w:val="33EF0378"/>
    <w:rsid w:val="33EF3DF2"/>
    <w:rsid w:val="33F2456A"/>
    <w:rsid w:val="33FA572B"/>
    <w:rsid w:val="3403379A"/>
    <w:rsid w:val="34073C1D"/>
    <w:rsid w:val="340A64CB"/>
    <w:rsid w:val="340E4CC7"/>
    <w:rsid w:val="34100AB8"/>
    <w:rsid w:val="3411417D"/>
    <w:rsid w:val="341D49B3"/>
    <w:rsid w:val="341E4CB3"/>
    <w:rsid w:val="341F3F19"/>
    <w:rsid w:val="342452D3"/>
    <w:rsid w:val="34246D6F"/>
    <w:rsid w:val="342872A6"/>
    <w:rsid w:val="34292A4F"/>
    <w:rsid w:val="34292E7C"/>
    <w:rsid w:val="342A094A"/>
    <w:rsid w:val="342B7BF7"/>
    <w:rsid w:val="342F66CA"/>
    <w:rsid w:val="34300A7D"/>
    <w:rsid w:val="3430138D"/>
    <w:rsid w:val="34333BE0"/>
    <w:rsid w:val="34347AC3"/>
    <w:rsid w:val="343A0C0F"/>
    <w:rsid w:val="343F6B81"/>
    <w:rsid w:val="344A01A6"/>
    <w:rsid w:val="344E7394"/>
    <w:rsid w:val="345755A8"/>
    <w:rsid w:val="345A0537"/>
    <w:rsid w:val="345B4E2C"/>
    <w:rsid w:val="345D758F"/>
    <w:rsid w:val="34607FB2"/>
    <w:rsid w:val="34615829"/>
    <w:rsid w:val="3462226C"/>
    <w:rsid w:val="346A1BB2"/>
    <w:rsid w:val="346E738B"/>
    <w:rsid w:val="3473445A"/>
    <w:rsid w:val="34782AC5"/>
    <w:rsid w:val="34785CD4"/>
    <w:rsid w:val="347875C9"/>
    <w:rsid w:val="347B0E37"/>
    <w:rsid w:val="347D1349"/>
    <w:rsid w:val="347F046C"/>
    <w:rsid w:val="34834A93"/>
    <w:rsid w:val="34874A0D"/>
    <w:rsid w:val="348A7E6B"/>
    <w:rsid w:val="349C27BA"/>
    <w:rsid w:val="34A14FAB"/>
    <w:rsid w:val="34A46ADA"/>
    <w:rsid w:val="34A5576D"/>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04FB8"/>
    <w:rsid w:val="35017F79"/>
    <w:rsid w:val="35041BFF"/>
    <w:rsid w:val="351E7FCA"/>
    <w:rsid w:val="351F04F0"/>
    <w:rsid w:val="351F2311"/>
    <w:rsid w:val="351F7E03"/>
    <w:rsid w:val="35206711"/>
    <w:rsid w:val="352367C5"/>
    <w:rsid w:val="352612FC"/>
    <w:rsid w:val="352D1F24"/>
    <w:rsid w:val="352D7415"/>
    <w:rsid w:val="3531792A"/>
    <w:rsid w:val="3539398A"/>
    <w:rsid w:val="35430243"/>
    <w:rsid w:val="354400F1"/>
    <w:rsid w:val="35450042"/>
    <w:rsid w:val="354F0611"/>
    <w:rsid w:val="3552267E"/>
    <w:rsid w:val="35580193"/>
    <w:rsid w:val="355A5E02"/>
    <w:rsid w:val="356276AD"/>
    <w:rsid w:val="35675BE6"/>
    <w:rsid w:val="356B5ADC"/>
    <w:rsid w:val="357706DE"/>
    <w:rsid w:val="35856351"/>
    <w:rsid w:val="358D4F45"/>
    <w:rsid w:val="35940857"/>
    <w:rsid w:val="35955E66"/>
    <w:rsid w:val="3595612F"/>
    <w:rsid w:val="359D552A"/>
    <w:rsid w:val="35A444A3"/>
    <w:rsid w:val="35AD47D7"/>
    <w:rsid w:val="35B2395E"/>
    <w:rsid w:val="35B500E7"/>
    <w:rsid w:val="35B77945"/>
    <w:rsid w:val="35BA5897"/>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172B5"/>
    <w:rsid w:val="360219E2"/>
    <w:rsid w:val="36044720"/>
    <w:rsid w:val="360A1CD4"/>
    <w:rsid w:val="360C4731"/>
    <w:rsid w:val="361203A7"/>
    <w:rsid w:val="3614405A"/>
    <w:rsid w:val="3615173C"/>
    <w:rsid w:val="3619343A"/>
    <w:rsid w:val="361C631E"/>
    <w:rsid w:val="361E5F79"/>
    <w:rsid w:val="361F0B5A"/>
    <w:rsid w:val="36255FE7"/>
    <w:rsid w:val="362F44EC"/>
    <w:rsid w:val="363139D2"/>
    <w:rsid w:val="36380784"/>
    <w:rsid w:val="363A6D22"/>
    <w:rsid w:val="36453E73"/>
    <w:rsid w:val="365C692E"/>
    <w:rsid w:val="3664672E"/>
    <w:rsid w:val="36684B85"/>
    <w:rsid w:val="36694323"/>
    <w:rsid w:val="367A12DB"/>
    <w:rsid w:val="36847D86"/>
    <w:rsid w:val="36871919"/>
    <w:rsid w:val="368D0336"/>
    <w:rsid w:val="369202E4"/>
    <w:rsid w:val="36993AD8"/>
    <w:rsid w:val="369C1413"/>
    <w:rsid w:val="369E16D7"/>
    <w:rsid w:val="36A03498"/>
    <w:rsid w:val="36B969ED"/>
    <w:rsid w:val="36BE11DF"/>
    <w:rsid w:val="36BF09FB"/>
    <w:rsid w:val="36C276D2"/>
    <w:rsid w:val="36C35683"/>
    <w:rsid w:val="36D53B5B"/>
    <w:rsid w:val="36D63830"/>
    <w:rsid w:val="36D849D2"/>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076E5"/>
    <w:rsid w:val="37287D74"/>
    <w:rsid w:val="372A6F83"/>
    <w:rsid w:val="372F0142"/>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C7974"/>
    <w:rsid w:val="377F29FA"/>
    <w:rsid w:val="378A2E48"/>
    <w:rsid w:val="378D4721"/>
    <w:rsid w:val="37916CEE"/>
    <w:rsid w:val="3793144B"/>
    <w:rsid w:val="37981B12"/>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93E1B"/>
    <w:rsid w:val="37DA01D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C1759"/>
    <w:rsid w:val="382F5D8D"/>
    <w:rsid w:val="38316C3E"/>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94785"/>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EB6B3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506734"/>
    <w:rsid w:val="39592BCF"/>
    <w:rsid w:val="395A6D19"/>
    <w:rsid w:val="395D0E21"/>
    <w:rsid w:val="39623B52"/>
    <w:rsid w:val="397061BB"/>
    <w:rsid w:val="3972555C"/>
    <w:rsid w:val="397319FF"/>
    <w:rsid w:val="39731B12"/>
    <w:rsid w:val="39765E70"/>
    <w:rsid w:val="39774BBD"/>
    <w:rsid w:val="39847EB1"/>
    <w:rsid w:val="398704BB"/>
    <w:rsid w:val="39882427"/>
    <w:rsid w:val="39926717"/>
    <w:rsid w:val="39970953"/>
    <w:rsid w:val="399E1C0B"/>
    <w:rsid w:val="39A21811"/>
    <w:rsid w:val="39A4022E"/>
    <w:rsid w:val="39AC2500"/>
    <w:rsid w:val="39AD28D5"/>
    <w:rsid w:val="39B261DB"/>
    <w:rsid w:val="39B73027"/>
    <w:rsid w:val="39B857F7"/>
    <w:rsid w:val="39B90E5E"/>
    <w:rsid w:val="39BB3A94"/>
    <w:rsid w:val="39C1671E"/>
    <w:rsid w:val="39C7184A"/>
    <w:rsid w:val="39CB526D"/>
    <w:rsid w:val="39D546A7"/>
    <w:rsid w:val="39DA48F6"/>
    <w:rsid w:val="39DA79CB"/>
    <w:rsid w:val="39DB38B4"/>
    <w:rsid w:val="39E069D4"/>
    <w:rsid w:val="39E258C7"/>
    <w:rsid w:val="39F070CC"/>
    <w:rsid w:val="39F12591"/>
    <w:rsid w:val="39FA1CF1"/>
    <w:rsid w:val="3A001D3B"/>
    <w:rsid w:val="3A016BF0"/>
    <w:rsid w:val="3A0A4EEB"/>
    <w:rsid w:val="3A0C1916"/>
    <w:rsid w:val="3A191E0E"/>
    <w:rsid w:val="3A1C597D"/>
    <w:rsid w:val="3A1C71BF"/>
    <w:rsid w:val="3A1F3FB7"/>
    <w:rsid w:val="3A2C3BA6"/>
    <w:rsid w:val="3A2E3AF5"/>
    <w:rsid w:val="3A3539DC"/>
    <w:rsid w:val="3A3D4D53"/>
    <w:rsid w:val="3A4C45A1"/>
    <w:rsid w:val="3A4F0430"/>
    <w:rsid w:val="3A544F6C"/>
    <w:rsid w:val="3A577ADC"/>
    <w:rsid w:val="3A5914F9"/>
    <w:rsid w:val="3A5F3F5A"/>
    <w:rsid w:val="3A6D66ED"/>
    <w:rsid w:val="3A7116FC"/>
    <w:rsid w:val="3A736A4A"/>
    <w:rsid w:val="3A76541F"/>
    <w:rsid w:val="3A7D75EF"/>
    <w:rsid w:val="3A881F93"/>
    <w:rsid w:val="3A8B176E"/>
    <w:rsid w:val="3A8D11CC"/>
    <w:rsid w:val="3A8D2D28"/>
    <w:rsid w:val="3A9A07D3"/>
    <w:rsid w:val="3A9C50AA"/>
    <w:rsid w:val="3AA312D0"/>
    <w:rsid w:val="3AAF36AE"/>
    <w:rsid w:val="3AB06715"/>
    <w:rsid w:val="3AB847B4"/>
    <w:rsid w:val="3ABD355C"/>
    <w:rsid w:val="3AC243D8"/>
    <w:rsid w:val="3AC351F1"/>
    <w:rsid w:val="3AC91008"/>
    <w:rsid w:val="3ACB36E9"/>
    <w:rsid w:val="3ACB7871"/>
    <w:rsid w:val="3ACE6056"/>
    <w:rsid w:val="3AD028B4"/>
    <w:rsid w:val="3AD34546"/>
    <w:rsid w:val="3AD847A7"/>
    <w:rsid w:val="3ADA3867"/>
    <w:rsid w:val="3AE15E3F"/>
    <w:rsid w:val="3AEC72C2"/>
    <w:rsid w:val="3AED06F2"/>
    <w:rsid w:val="3AEF76B1"/>
    <w:rsid w:val="3AF15090"/>
    <w:rsid w:val="3AF27012"/>
    <w:rsid w:val="3AFB55B9"/>
    <w:rsid w:val="3B0114CC"/>
    <w:rsid w:val="3B0476DE"/>
    <w:rsid w:val="3B050C15"/>
    <w:rsid w:val="3B0E3AD2"/>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643A5"/>
    <w:rsid w:val="3B59157A"/>
    <w:rsid w:val="3B5A461E"/>
    <w:rsid w:val="3B5D028A"/>
    <w:rsid w:val="3B6D0581"/>
    <w:rsid w:val="3B6E1A34"/>
    <w:rsid w:val="3B7730F3"/>
    <w:rsid w:val="3B7A5CB5"/>
    <w:rsid w:val="3B7B36A3"/>
    <w:rsid w:val="3B846B42"/>
    <w:rsid w:val="3B8535DD"/>
    <w:rsid w:val="3B87218D"/>
    <w:rsid w:val="3B8A0FE3"/>
    <w:rsid w:val="3B8A5FC0"/>
    <w:rsid w:val="3B8A6F65"/>
    <w:rsid w:val="3B8B274A"/>
    <w:rsid w:val="3B8B3071"/>
    <w:rsid w:val="3B90223A"/>
    <w:rsid w:val="3BA23EEE"/>
    <w:rsid w:val="3BA866BF"/>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218D8"/>
    <w:rsid w:val="3C4A36CF"/>
    <w:rsid w:val="3C4D7FC6"/>
    <w:rsid w:val="3C55687F"/>
    <w:rsid w:val="3C5A0649"/>
    <w:rsid w:val="3C6A6E3E"/>
    <w:rsid w:val="3C6B4CE4"/>
    <w:rsid w:val="3C6C1257"/>
    <w:rsid w:val="3C6D4F86"/>
    <w:rsid w:val="3C6E4611"/>
    <w:rsid w:val="3C6F5C49"/>
    <w:rsid w:val="3C70236E"/>
    <w:rsid w:val="3C735075"/>
    <w:rsid w:val="3C77244A"/>
    <w:rsid w:val="3C783F6C"/>
    <w:rsid w:val="3C7A543E"/>
    <w:rsid w:val="3C7C68CA"/>
    <w:rsid w:val="3C820803"/>
    <w:rsid w:val="3C843FF9"/>
    <w:rsid w:val="3C851287"/>
    <w:rsid w:val="3C893553"/>
    <w:rsid w:val="3C986303"/>
    <w:rsid w:val="3C9B4C33"/>
    <w:rsid w:val="3C9C1B00"/>
    <w:rsid w:val="3C9C3774"/>
    <w:rsid w:val="3C9D6BB1"/>
    <w:rsid w:val="3CA17A3D"/>
    <w:rsid w:val="3CA475A5"/>
    <w:rsid w:val="3CA54122"/>
    <w:rsid w:val="3CA85166"/>
    <w:rsid w:val="3CAE0373"/>
    <w:rsid w:val="3CAE3726"/>
    <w:rsid w:val="3CB23402"/>
    <w:rsid w:val="3CB34789"/>
    <w:rsid w:val="3CB576A3"/>
    <w:rsid w:val="3CBE141A"/>
    <w:rsid w:val="3CBE3F34"/>
    <w:rsid w:val="3CBE6E62"/>
    <w:rsid w:val="3CC06070"/>
    <w:rsid w:val="3CC34AC5"/>
    <w:rsid w:val="3CC433D7"/>
    <w:rsid w:val="3CC5486A"/>
    <w:rsid w:val="3CC9197E"/>
    <w:rsid w:val="3CCB1797"/>
    <w:rsid w:val="3CD81277"/>
    <w:rsid w:val="3CD927D3"/>
    <w:rsid w:val="3CDC73D2"/>
    <w:rsid w:val="3CE03540"/>
    <w:rsid w:val="3CE25092"/>
    <w:rsid w:val="3CE35325"/>
    <w:rsid w:val="3CE47BC5"/>
    <w:rsid w:val="3CE741A3"/>
    <w:rsid w:val="3CF012B5"/>
    <w:rsid w:val="3CF10224"/>
    <w:rsid w:val="3CF80D73"/>
    <w:rsid w:val="3D03717F"/>
    <w:rsid w:val="3D05649D"/>
    <w:rsid w:val="3D0E2650"/>
    <w:rsid w:val="3D0E7B96"/>
    <w:rsid w:val="3D2558DA"/>
    <w:rsid w:val="3D2E57FB"/>
    <w:rsid w:val="3D311766"/>
    <w:rsid w:val="3D31514E"/>
    <w:rsid w:val="3D3201E6"/>
    <w:rsid w:val="3D344D4E"/>
    <w:rsid w:val="3D433BE3"/>
    <w:rsid w:val="3D4410E3"/>
    <w:rsid w:val="3D4F1820"/>
    <w:rsid w:val="3D505E2B"/>
    <w:rsid w:val="3D54620E"/>
    <w:rsid w:val="3D5D13B1"/>
    <w:rsid w:val="3D6C2810"/>
    <w:rsid w:val="3D6E7928"/>
    <w:rsid w:val="3D72630D"/>
    <w:rsid w:val="3D744E32"/>
    <w:rsid w:val="3D7845E4"/>
    <w:rsid w:val="3D7A0B27"/>
    <w:rsid w:val="3D7D024E"/>
    <w:rsid w:val="3D806AC3"/>
    <w:rsid w:val="3D8438BD"/>
    <w:rsid w:val="3D8B02DF"/>
    <w:rsid w:val="3D8E2A07"/>
    <w:rsid w:val="3D9E5E72"/>
    <w:rsid w:val="3DA009B3"/>
    <w:rsid w:val="3DA009CC"/>
    <w:rsid w:val="3DA13551"/>
    <w:rsid w:val="3DA3195E"/>
    <w:rsid w:val="3DA54FB2"/>
    <w:rsid w:val="3DA5644E"/>
    <w:rsid w:val="3DAE375E"/>
    <w:rsid w:val="3DAE5F07"/>
    <w:rsid w:val="3DB6531E"/>
    <w:rsid w:val="3DB72CDE"/>
    <w:rsid w:val="3DB9249A"/>
    <w:rsid w:val="3DBC3CE2"/>
    <w:rsid w:val="3DBC5E31"/>
    <w:rsid w:val="3DC118EF"/>
    <w:rsid w:val="3DCE0A89"/>
    <w:rsid w:val="3DCE671C"/>
    <w:rsid w:val="3DD02B71"/>
    <w:rsid w:val="3DD10E6B"/>
    <w:rsid w:val="3DDB2B21"/>
    <w:rsid w:val="3DDF215F"/>
    <w:rsid w:val="3DE107A0"/>
    <w:rsid w:val="3DE21CE1"/>
    <w:rsid w:val="3DE67BD3"/>
    <w:rsid w:val="3DEB262C"/>
    <w:rsid w:val="3DF145BF"/>
    <w:rsid w:val="3DF35996"/>
    <w:rsid w:val="3DF6113A"/>
    <w:rsid w:val="3DF612A2"/>
    <w:rsid w:val="3DF70567"/>
    <w:rsid w:val="3DFA6459"/>
    <w:rsid w:val="3DFC1272"/>
    <w:rsid w:val="3E0328BF"/>
    <w:rsid w:val="3E0F1CFB"/>
    <w:rsid w:val="3E111D45"/>
    <w:rsid w:val="3E1565B5"/>
    <w:rsid w:val="3E1B0CF6"/>
    <w:rsid w:val="3E1B763A"/>
    <w:rsid w:val="3E1D490C"/>
    <w:rsid w:val="3E1F67AC"/>
    <w:rsid w:val="3E294142"/>
    <w:rsid w:val="3E304585"/>
    <w:rsid w:val="3E343E9B"/>
    <w:rsid w:val="3E374163"/>
    <w:rsid w:val="3E3D4614"/>
    <w:rsid w:val="3E3F5206"/>
    <w:rsid w:val="3E427B9B"/>
    <w:rsid w:val="3E481465"/>
    <w:rsid w:val="3E4E6604"/>
    <w:rsid w:val="3E4E6CDE"/>
    <w:rsid w:val="3E4F6FC8"/>
    <w:rsid w:val="3E513A70"/>
    <w:rsid w:val="3E535F39"/>
    <w:rsid w:val="3E561CA0"/>
    <w:rsid w:val="3E56265A"/>
    <w:rsid w:val="3E5F25B3"/>
    <w:rsid w:val="3E623A41"/>
    <w:rsid w:val="3E633790"/>
    <w:rsid w:val="3E6B7E33"/>
    <w:rsid w:val="3E6D39BE"/>
    <w:rsid w:val="3E727522"/>
    <w:rsid w:val="3E7538EE"/>
    <w:rsid w:val="3E7E7092"/>
    <w:rsid w:val="3E850395"/>
    <w:rsid w:val="3E873689"/>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3243D"/>
    <w:rsid w:val="3ED8339A"/>
    <w:rsid w:val="3EE458A4"/>
    <w:rsid w:val="3EE830E2"/>
    <w:rsid w:val="3EF076C8"/>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A5507"/>
    <w:rsid w:val="3F2C65EA"/>
    <w:rsid w:val="3F3B6E0A"/>
    <w:rsid w:val="3F3F1578"/>
    <w:rsid w:val="3F484DDE"/>
    <w:rsid w:val="3F495688"/>
    <w:rsid w:val="3F505F3F"/>
    <w:rsid w:val="3F575CF6"/>
    <w:rsid w:val="3F5954A7"/>
    <w:rsid w:val="3F5B1636"/>
    <w:rsid w:val="3F6249EF"/>
    <w:rsid w:val="3F667892"/>
    <w:rsid w:val="3F681588"/>
    <w:rsid w:val="3F6A75F8"/>
    <w:rsid w:val="3F6B633E"/>
    <w:rsid w:val="3F6E46A4"/>
    <w:rsid w:val="3F766932"/>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CF6640"/>
    <w:rsid w:val="3FD801CC"/>
    <w:rsid w:val="3FDF3057"/>
    <w:rsid w:val="3FF3291D"/>
    <w:rsid w:val="3FF45D31"/>
    <w:rsid w:val="3FFB249B"/>
    <w:rsid w:val="3FFB7550"/>
    <w:rsid w:val="3FFF6A7C"/>
    <w:rsid w:val="40040E62"/>
    <w:rsid w:val="4014244F"/>
    <w:rsid w:val="40170020"/>
    <w:rsid w:val="40224723"/>
    <w:rsid w:val="402C5CC2"/>
    <w:rsid w:val="402C7086"/>
    <w:rsid w:val="40313493"/>
    <w:rsid w:val="4036300F"/>
    <w:rsid w:val="40366445"/>
    <w:rsid w:val="40374A52"/>
    <w:rsid w:val="403D6FBF"/>
    <w:rsid w:val="403F6A53"/>
    <w:rsid w:val="404136C6"/>
    <w:rsid w:val="40427926"/>
    <w:rsid w:val="404444AE"/>
    <w:rsid w:val="40461D95"/>
    <w:rsid w:val="40465DB4"/>
    <w:rsid w:val="4051638A"/>
    <w:rsid w:val="405B3C67"/>
    <w:rsid w:val="405C46EC"/>
    <w:rsid w:val="405C4E3B"/>
    <w:rsid w:val="40600D15"/>
    <w:rsid w:val="4072698B"/>
    <w:rsid w:val="40777B57"/>
    <w:rsid w:val="40791E0C"/>
    <w:rsid w:val="407B5438"/>
    <w:rsid w:val="407D7B0B"/>
    <w:rsid w:val="408550F0"/>
    <w:rsid w:val="408A4409"/>
    <w:rsid w:val="408F04FF"/>
    <w:rsid w:val="40933A21"/>
    <w:rsid w:val="40953B65"/>
    <w:rsid w:val="409A137C"/>
    <w:rsid w:val="409B757E"/>
    <w:rsid w:val="40A34B97"/>
    <w:rsid w:val="40A56CD8"/>
    <w:rsid w:val="40A62CBC"/>
    <w:rsid w:val="40A74477"/>
    <w:rsid w:val="40A75108"/>
    <w:rsid w:val="40AB14CD"/>
    <w:rsid w:val="40AD3B25"/>
    <w:rsid w:val="40AF577A"/>
    <w:rsid w:val="40B52843"/>
    <w:rsid w:val="40B62E81"/>
    <w:rsid w:val="40B8270B"/>
    <w:rsid w:val="40C131B4"/>
    <w:rsid w:val="40C45878"/>
    <w:rsid w:val="40C4645B"/>
    <w:rsid w:val="40C5600E"/>
    <w:rsid w:val="40D31762"/>
    <w:rsid w:val="40D42663"/>
    <w:rsid w:val="40D52670"/>
    <w:rsid w:val="40DB5285"/>
    <w:rsid w:val="40DC200C"/>
    <w:rsid w:val="40E02FFF"/>
    <w:rsid w:val="40E75767"/>
    <w:rsid w:val="40E8328F"/>
    <w:rsid w:val="40E94E3D"/>
    <w:rsid w:val="40F31A37"/>
    <w:rsid w:val="410419ED"/>
    <w:rsid w:val="410727A8"/>
    <w:rsid w:val="410A2C1B"/>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205D1"/>
    <w:rsid w:val="416442D8"/>
    <w:rsid w:val="416C1A09"/>
    <w:rsid w:val="41763955"/>
    <w:rsid w:val="417769F6"/>
    <w:rsid w:val="417C4C96"/>
    <w:rsid w:val="41803DA8"/>
    <w:rsid w:val="41820824"/>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353F"/>
    <w:rsid w:val="41DC48D7"/>
    <w:rsid w:val="41E76E0D"/>
    <w:rsid w:val="41F400EE"/>
    <w:rsid w:val="41FA376E"/>
    <w:rsid w:val="41FE6CB2"/>
    <w:rsid w:val="420556C8"/>
    <w:rsid w:val="421251CC"/>
    <w:rsid w:val="4214720F"/>
    <w:rsid w:val="4217488D"/>
    <w:rsid w:val="421D7B36"/>
    <w:rsid w:val="422345EF"/>
    <w:rsid w:val="42240668"/>
    <w:rsid w:val="4226137B"/>
    <w:rsid w:val="422A1E24"/>
    <w:rsid w:val="422A2BDA"/>
    <w:rsid w:val="422A6940"/>
    <w:rsid w:val="422E486B"/>
    <w:rsid w:val="423400A6"/>
    <w:rsid w:val="423C6FDC"/>
    <w:rsid w:val="424763C8"/>
    <w:rsid w:val="424C78FC"/>
    <w:rsid w:val="42582F93"/>
    <w:rsid w:val="425A4600"/>
    <w:rsid w:val="4265286C"/>
    <w:rsid w:val="42690B24"/>
    <w:rsid w:val="427378E6"/>
    <w:rsid w:val="427C184E"/>
    <w:rsid w:val="427C225E"/>
    <w:rsid w:val="42890C2F"/>
    <w:rsid w:val="428B14DB"/>
    <w:rsid w:val="42924E8D"/>
    <w:rsid w:val="42982BA6"/>
    <w:rsid w:val="429F313B"/>
    <w:rsid w:val="429F6653"/>
    <w:rsid w:val="42AC06F3"/>
    <w:rsid w:val="42B302EA"/>
    <w:rsid w:val="42B61338"/>
    <w:rsid w:val="42B90AAB"/>
    <w:rsid w:val="42C5009E"/>
    <w:rsid w:val="42C92A69"/>
    <w:rsid w:val="42C96A82"/>
    <w:rsid w:val="42CF6EF1"/>
    <w:rsid w:val="42D604C8"/>
    <w:rsid w:val="42D72C00"/>
    <w:rsid w:val="42DF35C8"/>
    <w:rsid w:val="42E518DC"/>
    <w:rsid w:val="42E85051"/>
    <w:rsid w:val="42E9081C"/>
    <w:rsid w:val="42E91349"/>
    <w:rsid w:val="42EE0EAA"/>
    <w:rsid w:val="42EF0CCD"/>
    <w:rsid w:val="42F1490F"/>
    <w:rsid w:val="42F25520"/>
    <w:rsid w:val="42F73D75"/>
    <w:rsid w:val="4309548A"/>
    <w:rsid w:val="430D0405"/>
    <w:rsid w:val="431417E6"/>
    <w:rsid w:val="431F53C1"/>
    <w:rsid w:val="43206F9C"/>
    <w:rsid w:val="432D3913"/>
    <w:rsid w:val="433429FE"/>
    <w:rsid w:val="4334351A"/>
    <w:rsid w:val="43353D4F"/>
    <w:rsid w:val="4336642B"/>
    <w:rsid w:val="4338799F"/>
    <w:rsid w:val="433C6F5D"/>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BC172D"/>
    <w:rsid w:val="43C05A98"/>
    <w:rsid w:val="43C211B7"/>
    <w:rsid w:val="43C71A27"/>
    <w:rsid w:val="43C86C83"/>
    <w:rsid w:val="43C87BDE"/>
    <w:rsid w:val="43C95ED6"/>
    <w:rsid w:val="43D34204"/>
    <w:rsid w:val="43DC6ACC"/>
    <w:rsid w:val="43DD04DA"/>
    <w:rsid w:val="43E232E1"/>
    <w:rsid w:val="43E567A6"/>
    <w:rsid w:val="43F84F4E"/>
    <w:rsid w:val="43FE36A4"/>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C5290"/>
    <w:rsid w:val="44465D22"/>
    <w:rsid w:val="444B7264"/>
    <w:rsid w:val="44574B2B"/>
    <w:rsid w:val="445B2BD5"/>
    <w:rsid w:val="445F6864"/>
    <w:rsid w:val="44614A39"/>
    <w:rsid w:val="44660907"/>
    <w:rsid w:val="44677256"/>
    <w:rsid w:val="446E36E4"/>
    <w:rsid w:val="446F48BE"/>
    <w:rsid w:val="44730D26"/>
    <w:rsid w:val="44762A9C"/>
    <w:rsid w:val="44792B7D"/>
    <w:rsid w:val="44811DFB"/>
    <w:rsid w:val="448E6167"/>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97C0C"/>
    <w:rsid w:val="44DC059B"/>
    <w:rsid w:val="44E77519"/>
    <w:rsid w:val="44E91338"/>
    <w:rsid w:val="44E961E2"/>
    <w:rsid w:val="44F4601C"/>
    <w:rsid w:val="44F5322E"/>
    <w:rsid w:val="44F74C0C"/>
    <w:rsid w:val="44F90A00"/>
    <w:rsid w:val="44FB2595"/>
    <w:rsid w:val="4504286C"/>
    <w:rsid w:val="450655DE"/>
    <w:rsid w:val="45075F3A"/>
    <w:rsid w:val="45080466"/>
    <w:rsid w:val="450C4F28"/>
    <w:rsid w:val="452378EF"/>
    <w:rsid w:val="4524750B"/>
    <w:rsid w:val="45286865"/>
    <w:rsid w:val="452B4AF6"/>
    <w:rsid w:val="452B5E55"/>
    <w:rsid w:val="452F2E18"/>
    <w:rsid w:val="4532333B"/>
    <w:rsid w:val="45327B09"/>
    <w:rsid w:val="45380A36"/>
    <w:rsid w:val="4541568B"/>
    <w:rsid w:val="45491E06"/>
    <w:rsid w:val="454F23C2"/>
    <w:rsid w:val="45500C3F"/>
    <w:rsid w:val="455A0801"/>
    <w:rsid w:val="455E51F5"/>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8501C"/>
    <w:rsid w:val="45CB77B5"/>
    <w:rsid w:val="45CF3D0C"/>
    <w:rsid w:val="45D6540C"/>
    <w:rsid w:val="45D70722"/>
    <w:rsid w:val="45DA00BF"/>
    <w:rsid w:val="45DB0A71"/>
    <w:rsid w:val="45DD0DBB"/>
    <w:rsid w:val="45DE7C9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785B64"/>
    <w:rsid w:val="46836D01"/>
    <w:rsid w:val="468431CC"/>
    <w:rsid w:val="46846139"/>
    <w:rsid w:val="468706E8"/>
    <w:rsid w:val="468D2D01"/>
    <w:rsid w:val="46934B28"/>
    <w:rsid w:val="46952F1A"/>
    <w:rsid w:val="46AA0AA6"/>
    <w:rsid w:val="46AA774E"/>
    <w:rsid w:val="46AB3E47"/>
    <w:rsid w:val="46AD5953"/>
    <w:rsid w:val="46B8054D"/>
    <w:rsid w:val="46B861B8"/>
    <w:rsid w:val="46B90478"/>
    <w:rsid w:val="46C045C0"/>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1C00F5"/>
    <w:rsid w:val="47235B2C"/>
    <w:rsid w:val="472748E0"/>
    <w:rsid w:val="4729336F"/>
    <w:rsid w:val="472E2DEC"/>
    <w:rsid w:val="473026ED"/>
    <w:rsid w:val="47324C7B"/>
    <w:rsid w:val="47353CDE"/>
    <w:rsid w:val="4738492A"/>
    <w:rsid w:val="473916F7"/>
    <w:rsid w:val="473A3AD8"/>
    <w:rsid w:val="4741594F"/>
    <w:rsid w:val="47461A19"/>
    <w:rsid w:val="474B033A"/>
    <w:rsid w:val="474E3CCE"/>
    <w:rsid w:val="474E6EC0"/>
    <w:rsid w:val="475330F3"/>
    <w:rsid w:val="4753504B"/>
    <w:rsid w:val="475A014C"/>
    <w:rsid w:val="475B61F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1432B"/>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1A3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5221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801E9"/>
    <w:rsid w:val="48AD72C6"/>
    <w:rsid w:val="48B3188D"/>
    <w:rsid w:val="48C2259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3F2507"/>
    <w:rsid w:val="49455F75"/>
    <w:rsid w:val="49575AE3"/>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71D7B"/>
    <w:rsid w:val="49885C59"/>
    <w:rsid w:val="498A257F"/>
    <w:rsid w:val="4995687C"/>
    <w:rsid w:val="4998544E"/>
    <w:rsid w:val="499D4802"/>
    <w:rsid w:val="49A45FDD"/>
    <w:rsid w:val="49A61B96"/>
    <w:rsid w:val="49B20B48"/>
    <w:rsid w:val="49B55D27"/>
    <w:rsid w:val="49B83EAA"/>
    <w:rsid w:val="49C03EDD"/>
    <w:rsid w:val="49C060D9"/>
    <w:rsid w:val="49C67DAB"/>
    <w:rsid w:val="49C7764E"/>
    <w:rsid w:val="49D83A18"/>
    <w:rsid w:val="49D8668C"/>
    <w:rsid w:val="49DB3A45"/>
    <w:rsid w:val="49E73C0B"/>
    <w:rsid w:val="49E92B16"/>
    <w:rsid w:val="49EC1B26"/>
    <w:rsid w:val="49FC7FA2"/>
    <w:rsid w:val="4A017C98"/>
    <w:rsid w:val="4A042139"/>
    <w:rsid w:val="4A080E5C"/>
    <w:rsid w:val="4A0C44E3"/>
    <w:rsid w:val="4A1C1EE0"/>
    <w:rsid w:val="4A1D0A93"/>
    <w:rsid w:val="4A210B7E"/>
    <w:rsid w:val="4A2D197A"/>
    <w:rsid w:val="4A335E86"/>
    <w:rsid w:val="4A357040"/>
    <w:rsid w:val="4A366A1B"/>
    <w:rsid w:val="4A3B0DBF"/>
    <w:rsid w:val="4A3C074A"/>
    <w:rsid w:val="4A3C3645"/>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74D15"/>
    <w:rsid w:val="4AF30717"/>
    <w:rsid w:val="4AF54381"/>
    <w:rsid w:val="4AFF07F1"/>
    <w:rsid w:val="4AFF2915"/>
    <w:rsid w:val="4B000128"/>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A62F3"/>
    <w:rsid w:val="4BAC02EC"/>
    <w:rsid w:val="4BAD02A0"/>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33C8A"/>
    <w:rsid w:val="4C1A2A5F"/>
    <w:rsid w:val="4C1A44FD"/>
    <w:rsid w:val="4C222801"/>
    <w:rsid w:val="4C2515BC"/>
    <w:rsid w:val="4C2744DE"/>
    <w:rsid w:val="4C291562"/>
    <w:rsid w:val="4C2D50A6"/>
    <w:rsid w:val="4C300A96"/>
    <w:rsid w:val="4C366339"/>
    <w:rsid w:val="4C3900BA"/>
    <w:rsid w:val="4C3972A1"/>
    <w:rsid w:val="4C443324"/>
    <w:rsid w:val="4C4A1538"/>
    <w:rsid w:val="4C4B5CF1"/>
    <w:rsid w:val="4C4C1611"/>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76305"/>
    <w:rsid w:val="4C9A62D2"/>
    <w:rsid w:val="4C9D4E3B"/>
    <w:rsid w:val="4CA74125"/>
    <w:rsid w:val="4CA777A5"/>
    <w:rsid w:val="4CAC0C48"/>
    <w:rsid w:val="4CAD1D03"/>
    <w:rsid w:val="4CB77F7C"/>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4F32B7"/>
    <w:rsid w:val="4D501E9E"/>
    <w:rsid w:val="4D5545A3"/>
    <w:rsid w:val="4D56242D"/>
    <w:rsid w:val="4D5E313C"/>
    <w:rsid w:val="4D60132F"/>
    <w:rsid w:val="4D63794E"/>
    <w:rsid w:val="4D69275F"/>
    <w:rsid w:val="4D696340"/>
    <w:rsid w:val="4D6E1562"/>
    <w:rsid w:val="4D6E2B65"/>
    <w:rsid w:val="4D716B09"/>
    <w:rsid w:val="4D717673"/>
    <w:rsid w:val="4D7464F6"/>
    <w:rsid w:val="4D7A1765"/>
    <w:rsid w:val="4D7D4CCF"/>
    <w:rsid w:val="4D821CF2"/>
    <w:rsid w:val="4D8412B2"/>
    <w:rsid w:val="4D841638"/>
    <w:rsid w:val="4D8A3A34"/>
    <w:rsid w:val="4D8C2260"/>
    <w:rsid w:val="4D8F063D"/>
    <w:rsid w:val="4D95193A"/>
    <w:rsid w:val="4DA0324A"/>
    <w:rsid w:val="4DA3314C"/>
    <w:rsid w:val="4DA3682D"/>
    <w:rsid w:val="4DB20713"/>
    <w:rsid w:val="4DB2548E"/>
    <w:rsid w:val="4DB43700"/>
    <w:rsid w:val="4DB62FA2"/>
    <w:rsid w:val="4DB81350"/>
    <w:rsid w:val="4DB84B5B"/>
    <w:rsid w:val="4DC03E03"/>
    <w:rsid w:val="4DC171CE"/>
    <w:rsid w:val="4DC92356"/>
    <w:rsid w:val="4DC945C5"/>
    <w:rsid w:val="4DD6753F"/>
    <w:rsid w:val="4DE100E7"/>
    <w:rsid w:val="4DE52367"/>
    <w:rsid w:val="4DF57D5B"/>
    <w:rsid w:val="4DFB4AE2"/>
    <w:rsid w:val="4E0D58F7"/>
    <w:rsid w:val="4E101469"/>
    <w:rsid w:val="4E113C23"/>
    <w:rsid w:val="4E170C0E"/>
    <w:rsid w:val="4E17118C"/>
    <w:rsid w:val="4E2B2FCF"/>
    <w:rsid w:val="4E333BB5"/>
    <w:rsid w:val="4E357F6B"/>
    <w:rsid w:val="4E371BF7"/>
    <w:rsid w:val="4E3D688F"/>
    <w:rsid w:val="4E3E6E2C"/>
    <w:rsid w:val="4E44293C"/>
    <w:rsid w:val="4E467BC9"/>
    <w:rsid w:val="4E490B45"/>
    <w:rsid w:val="4E53468B"/>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652928"/>
    <w:rsid w:val="4F727B71"/>
    <w:rsid w:val="4F7457B4"/>
    <w:rsid w:val="4F77430D"/>
    <w:rsid w:val="4F7B78F2"/>
    <w:rsid w:val="4F7C0842"/>
    <w:rsid w:val="4F7F2C82"/>
    <w:rsid w:val="4F874785"/>
    <w:rsid w:val="4F885556"/>
    <w:rsid w:val="4F8906F1"/>
    <w:rsid w:val="4F8C1C07"/>
    <w:rsid w:val="4F8C6DE9"/>
    <w:rsid w:val="4F94645F"/>
    <w:rsid w:val="4F956923"/>
    <w:rsid w:val="4F976963"/>
    <w:rsid w:val="4F9B10BF"/>
    <w:rsid w:val="4F9C0E3D"/>
    <w:rsid w:val="4F9C1E6A"/>
    <w:rsid w:val="4F9E3A19"/>
    <w:rsid w:val="4FA057FA"/>
    <w:rsid w:val="4FA50BF5"/>
    <w:rsid w:val="4FAB3195"/>
    <w:rsid w:val="4FAE1C5C"/>
    <w:rsid w:val="4FAE2769"/>
    <w:rsid w:val="4FAF30C3"/>
    <w:rsid w:val="4FB30E7E"/>
    <w:rsid w:val="4FBA0D2B"/>
    <w:rsid w:val="4FBF63C5"/>
    <w:rsid w:val="4FC207F4"/>
    <w:rsid w:val="4FC35E15"/>
    <w:rsid w:val="4FC67EEA"/>
    <w:rsid w:val="4FCA0E85"/>
    <w:rsid w:val="4FCA225C"/>
    <w:rsid w:val="4FCF59AE"/>
    <w:rsid w:val="4FD27897"/>
    <w:rsid w:val="4FD33884"/>
    <w:rsid w:val="4FD41744"/>
    <w:rsid w:val="4FD72D6F"/>
    <w:rsid w:val="4FDB0443"/>
    <w:rsid w:val="4FDC67FA"/>
    <w:rsid w:val="4FDD4983"/>
    <w:rsid w:val="4FE03E26"/>
    <w:rsid w:val="4FE35B5F"/>
    <w:rsid w:val="4FEA54E4"/>
    <w:rsid w:val="4FED181D"/>
    <w:rsid w:val="4FF100DC"/>
    <w:rsid w:val="4FFC718E"/>
    <w:rsid w:val="4FFF6CFC"/>
    <w:rsid w:val="50082EF5"/>
    <w:rsid w:val="500D60A8"/>
    <w:rsid w:val="50100F97"/>
    <w:rsid w:val="50146771"/>
    <w:rsid w:val="50174394"/>
    <w:rsid w:val="501A0BBE"/>
    <w:rsid w:val="501A21E0"/>
    <w:rsid w:val="5021442D"/>
    <w:rsid w:val="502226B7"/>
    <w:rsid w:val="502859E2"/>
    <w:rsid w:val="50290847"/>
    <w:rsid w:val="503175D5"/>
    <w:rsid w:val="5034215C"/>
    <w:rsid w:val="503625F2"/>
    <w:rsid w:val="503A6544"/>
    <w:rsid w:val="503C53AC"/>
    <w:rsid w:val="5046799C"/>
    <w:rsid w:val="50491BF2"/>
    <w:rsid w:val="50535CB7"/>
    <w:rsid w:val="505A42A1"/>
    <w:rsid w:val="505B684C"/>
    <w:rsid w:val="50697F59"/>
    <w:rsid w:val="50710328"/>
    <w:rsid w:val="50715A85"/>
    <w:rsid w:val="50734618"/>
    <w:rsid w:val="5073496F"/>
    <w:rsid w:val="50885115"/>
    <w:rsid w:val="50984F82"/>
    <w:rsid w:val="509B0639"/>
    <w:rsid w:val="509E1153"/>
    <w:rsid w:val="50AD52AF"/>
    <w:rsid w:val="50AF1F6D"/>
    <w:rsid w:val="50AF564D"/>
    <w:rsid w:val="50B66209"/>
    <w:rsid w:val="50B91558"/>
    <w:rsid w:val="50D433C9"/>
    <w:rsid w:val="50D444D1"/>
    <w:rsid w:val="50D67365"/>
    <w:rsid w:val="50D93965"/>
    <w:rsid w:val="50D97ACF"/>
    <w:rsid w:val="50DE264E"/>
    <w:rsid w:val="50EC29BF"/>
    <w:rsid w:val="50F67EBD"/>
    <w:rsid w:val="50F74B58"/>
    <w:rsid w:val="50F91215"/>
    <w:rsid w:val="51003DF7"/>
    <w:rsid w:val="51010408"/>
    <w:rsid w:val="510A61B6"/>
    <w:rsid w:val="511013F5"/>
    <w:rsid w:val="51130C19"/>
    <w:rsid w:val="511462DE"/>
    <w:rsid w:val="511934F5"/>
    <w:rsid w:val="511A650A"/>
    <w:rsid w:val="511B7FED"/>
    <w:rsid w:val="511D524D"/>
    <w:rsid w:val="51211654"/>
    <w:rsid w:val="5133763C"/>
    <w:rsid w:val="51393A83"/>
    <w:rsid w:val="513B3DF9"/>
    <w:rsid w:val="5140185C"/>
    <w:rsid w:val="51401B57"/>
    <w:rsid w:val="51480A97"/>
    <w:rsid w:val="51540609"/>
    <w:rsid w:val="51724F8D"/>
    <w:rsid w:val="51756972"/>
    <w:rsid w:val="517E1E1F"/>
    <w:rsid w:val="51813564"/>
    <w:rsid w:val="518167F0"/>
    <w:rsid w:val="51844B36"/>
    <w:rsid w:val="518741CF"/>
    <w:rsid w:val="51896510"/>
    <w:rsid w:val="518B1B6A"/>
    <w:rsid w:val="518B739B"/>
    <w:rsid w:val="519410BA"/>
    <w:rsid w:val="51965D8A"/>
    <w:rsid w:val="519F1F6B"/>
    <w:rsid w:val="51AB65B4"/>
    <w:rsid w:val="51B66A68"/>
    <w:rsid w:val="51BC09C0"/>
    <w:rsid w:val="51BD7EC2"/>
    <w:rsid w:val="51C44E72"/>
    <w:rsid w:val="51C819AA"/>
    <w:rsid w:val="51CC7C75"/>
    <w:rsid w:val="51CD5E2E"/>
    <w:rsid w:val="51D00AA7"/>
    <w:rsid w:val="51D05768"/>
    <w:rsid w:val="51D230DC"/>
    <w:rsid w:val="51D34DB4"/>
    <w:rsid w:val="51DA0FA7"/>
    <w:rsid w:val="51E27B8C"/>
    <w:rsid w:val="51E514EF"/>
    <w:rsid w:val="51EC7A89"/>
    <w:rsid w:val="51F90329"/>
    <w:rsid w:val="51F950A0"/>
    <w:rsid w:val="51FD4276"/>
    <w:rsid w:val="52013C23"/>
    <w:rsid w:val="52022324"/>
    <w:rsid w:val="520254FC"/>
    <w:rsid w:val="52161438"/>
    <w:rsid w:val="52180389"/>
    <w:rsid w:val="52190B22"/>
    <w:rsid w:val="521A11BC"/>
    <w:rsid w:val="521B4203"/>
    <w:rsid w:val="522012E9"/>
    <w:rsid w:val="5228188A"/>
    <w:rsid w:val="522A6770"/>
    <w:rsid w:val="522F191C"/>
    <w:rsid w:val="52361C56"/>
    <w:rsid w:val="52363194"/>
    <w:rsid w:val="52365463"/>
    <w:rsid w:val="5237135B"/>
    <w:rsid w:val="523B1AF3"/>
    <w:rsid w:val="5240020F"/>
    <w:rsid w:val="52441580"/>
    <w:rsid w:val="5247336B"/>
    <w:rsid w:val="524A5C68"/>
    <w:rsid w:val="52513518"/>
    <w:rsid w:val="52532968"/>
    <w:rsid w:val="52546140"/>
    <w:rsid w:val="525D3774"/>
    <w:rsid w:val="525D5F17"/>
    <w:rsid w:val="525F53B1"/>
    <w:rsid w:val="52643DC8"/>
    <w:rsid w:val="52685DAE"/>
    <w:rsid w:val="526D0958"/>
    <w:rsid w:val="52734368"/>
    <w:rsid w:val="52836832"/>
    <w:rsid w:val="52855E16"/>
    <w:rsid w:val="52924B44"/>
    <w:rsid w:val="529A7E86"/>
    <w:rsid w:val="52A15492"/>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27648A"/>
    <w:rsid w:val="53311BF2"/>
    <w:rsid w:val="533D4C85"/>
    <w:rsid w:val="53447CBE"/>
    <w:rsid w:val="53456AB3"/>
    <w:rsid w:val="534641E0"/>
    <w:rsid w:val="534718C6"/>
    <w:rsid w:val="53496F02"/>
    <w:rsid w:val="534B2225"/>
    <w:rsid w:val="534D106F"/>
    <w:rsid w:val="534F4759"/>
    <w:rsid w:val="53540D68"/>
    <w:rsid w:val="535A036F"/>
    <w:rsid w:val="535A7D93"/>
    <w:rsid w:val="53624B78"/>
    <w:rsid w:val="536D1FA0"/>
    <w:rsid w:val="53772DC7"/>
    <w:rsid w:val="537920B8"/>
    <w:rsid w:val="53794812"/>
    <w:rsid w:val="5381746B"/>
    <w:rsid w:val="538459BE"/>
    <w:rsid w:val="53850593"/>
    <w:rsid w:val="538E4601"/>
    <w:rsid w:val="53934D8F"/>
    <w:rsid w:val="5397293F"/>
    <w:rsid w:val="539D297E"/>
    <w:rsid w:val="53A065E4"/>
    <w:rsid w:val="53A1457E"/>
    <w:rsid w:val="53A22DC5"/>
    <w:rsid w:val="53A32E20"/>
    <w:rsid w:val="53AE4BE8"/>
    <w:rsid w:val="53B151E7"/>
    <w:rsid w:val="53B5455A"/>
    <w:rsid w:val="53BB16B1"/>
    <w:rsid w:val="53BB4E26"/>
    <w:rsid w:val="53BC6427"/>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3F202A"/>
    <w:rsid w:val="54412BF0"/>
    <w:rsid w:val="54422EDA"/>
    <w:rsid w:val="544417C9"/>
    <w:rsid w:val="544B50D5"/>
    <w:rsid w:val="54514458"/>
    <w:rsid w:val="54560958"/>
    <w:rsid w:val="546A78D3"/>
    <w:rsid w:val="54767E31"/>
    <w:rsid w:val="54781903"/>
    <w:rsid w:val="548878FA"/>
    <w:rsid w:val="548A1E4E"/>
    <w:rsid w:val="548D289E"/>
    <w:rsid w:val="54910BA4"/>
    <w:rsid w:val="549A0616"/>
    <w:rsid w:val="549B20E6"/>
    <w:rsid w:val="549E3FD7"/>
    <w:rsid w:val="54A60315"/>
    <w:rsid w:val="54A60A72"/>
    <w:rsid w:val="54A7458A"/>
    <w:rsid w:val="54B86248"/>
    <w:rsid w:val="54BA4091"/>
    <w:rsid w:val="54C24B82"/>
    <w:rsid w:val="54C50B9C"/>
    <w:rsid w:val="54CA3C93"/>
    <w:rsid w:val="54D00FCE"/>
    <w:rsid w:val="54D356C5"/>
    <w:rsid w:val="54D51870"/>
    <w:rsid w:val="54D90E80"/>
    <w:rsid w:val="54E21F4F"/>
    <w:rsid w:val="54E71077"/>
    <w:rsid w:val="54E925A9"/>
    <w:rsid w:val="54EC65A5"/>
    <w:rsid w:val="54F01E14"/>
    <w:rsid w:val="54F54248"/>
    <w:rsid w:val="54FE0D5F"/>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08DB"/>
    <w:rsid w:val="554430DF"/>
    <w:rsid w:val="554D7803"/>
    <w:rsid w:val="55516532"/>
    <w:rsid w:val="555A0E30"/>
    <w:rsid w:val="555B1111"/>
    <w:rsid w:val="555B2944"/>
    <w:rsid w:val="55694AF9"/>
    <w:rsid w:val="556F7E62"/>
    <w:rsid w:val="5576748A"/>
    <w:rsid w:val="55781DD9"/>
    <w:rsid w:val="55792861"/>
    <w:rsid w:val="557A0C4C"/>
    <w:rsid w:val="557B3359"/>
    <w:rsid w:val="5584057B"/>
    <w:rsid w:val="55866C5D"/>
    <w:rsid w:val="558D5021"/>
    <w:rsid w:val="55927D1F"/>
    <w:rsid w:val="55985654"/>
    <w:rsid w:val="559B659F"/>
    <w:rsid w:val="55A35F7F"/>
    <w:rsid w:val="55A42089"/>
    <w:rsid w:val="55AC56E3"/>
    <w:rsid w:val="55B80731"/>
    <w:rsid w:val="55B85ACE"/>
    <w:rsid w:val="55B952E9"/>
    <w:rsid w:val="55C2581B"/>
    <w:rsid w:val="55C94D7A"/>
    <w:rsid w:val="55D025DF"/>
    <w:rsid w:val="55D0561A"/>
    <w:rsid w:val="55D37AAE"/>
    <w:rsid w:val="55D63A47"/>
    <w:rsid w:val="55DD5590"/>
    <w:rsid w:val="55E67AD8"/>
    <w:rsid w:val="55E77B0B"/>
    <w:rsid w:val="55EE3558"/>
    <w:rsid w:val="55F3287B"/>
    <w:rsid w:val="55F66018"/>
    <w:rsid w:val="55FC1DF1"/>
    <w:rsid w:val="55FD5512"/>
    <w:rsid w:val="55FD6C2D"/>
    <w:rsid w:val="5601397B"/>
    <w:rsid w:val="5602472C"/>
    <w:rsid w:val="5611799E"/>
    <w:rsid w:val="5614039E"/>
    <w:rsid w:val="561978EB"/>
    <w:rsid w:val="561D0938"/>
    <w:rsid w:val="56254844"/>
    <w:rsid w:val="5627749C"/>
    <w:rsid w:val="562C48A4"/>
    <w:rsid w:val="562E289A"/>
    <w:rsid w:val="56324964"/>
    <w:rsid w:val="5635337A"/>
    <w:rsid w:val="56366E0D"/>
    <w:rsid w:val="563B1048"/>
    <w:rsid w:val="563C2D0A"/>
    <w:rsid w:val="563C657A"/>
    <w:rsid w:val="563F1C04"/>
    <w:rsid w:val="5646524C"/>
    <w:rsid w:val="5649734E"/>
    <w:rsid w:val="564C445F"/>
    <w:rsid w:val="564E3688"/>
    <w:rsid w:val="56514294"/>
    <w:rsid w:val="566355DD"/>
    <w:rsid w:val="56680BC9"/>
    <w:rsid w:val="56690DA7"/>
    <w:rsid w:val="566926ED"/>
    <w:rsid w:val="567043C4"/>
    <w:rsid w:val="567119B3"/>
    <w:rsid w:val="567636B0"/>
    <w:rsid w:val="567F4D05"/>
    <w:rsid w:val="568363E1"/>
    <w:rsid w:val="568F72C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12DB7"/>
    <w:rsid w:val="56F25548"/>
    <w:rsid w:val="56F418BC"/>
    <w:rsid w:val="56FB556C"/>
    <w:rsid w:val="57004C44"/>
    <w:rsid w:val="57024A7F"/>
    <w:rsid w:val="570C2BE8"/>
    <w:rsid w:val="570D00B1"/>
    <w:rsid w:val="570D35F8"/>
    <w:rsid w:val="57273EC6"/>
    <w:rsid w:val="57295110"/>
    <w:rsid w:val="5730740B"/>
    <w:rsid w:val="57320543"/>
    <w:rsid w:val="57351A93"/>
    <w:rsid w:val="573D0DE5"/>
    <w:rsid w:val="574940F5"/>
    <w:rsid w:val="575163DC"/>
    <w:rsid w:val="57525A8B"/>
    <w:rsid w:val="57564B03"/>
    <w:rsid w:val="575718A5"/>
    <w:rsid w:val="57576764"/>
    <w:rsid w:val="575D1406"/>
    <w:rsid w:val="575D7DC0"/>
    <w:rsid w:val="57646E8D"/>
    <w:rsid w:val="57650A3D"/>
    <w:rsid w:val="57711DF8"/>
    <w:rsid w:val="577269D1"/>
    <w:rsid w:val="577D7C19"/>
    <w:rsid w:val="57820DD4"/>
    <w:rsid w:val="578474C5"/>
    <w:rsid w:val="57883154"/>
    <w:rsid w:val="578F5E8E"/>
    <w:rsid w:val="578F659F"/>
    <w:rsid w:val="5795251B"/>
    <w:rsid w:val="579677D0"/>
    <w:rsid w:val="57984454"/>
    <w:rsid w:val="579C47BB"/>
    <w:rsid w:val="579D6CE4"/>
    <w:rsid w:val="579F608F"/>
    <w:rsid w:val="57A14D1F"/>
    <w:rsid w:val="57A43F9B"/>
    <w:rsid w:val="57A91D3B"/>
    <w:rsid w:val="57AD63CA"/>
    <w:rsid w:val="57B12D5D"/>
    <w:rsid w:val="57B65178"/>
    <w:rsid w:val="57BF011D"/>
    <w:rsid w:val="57BF4BA2"/>
    <w:rsid w:val="57C0641D"/>
    <w:rsid w:val="57C52144"/>
    <w:rsid w:val="57C648C9"/>
    <w:rsid w:val="57C9266E"/>
    <w:rsid w:val="57D16940"/>
    <w:rsid w:val="57D20BE2"/>
    <w:rsid w:val="57D5434D"/>
    <w:rsid w:val="57E044E1"/>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7569F"/>
    <w:rsid w:val="586E570C"/>
    <w:rsid w:val="587179FB"/>
    <w:rsid w:val="58744E3C"/>
    <w:rsid w:val="587527DD"/>
    <w:rsid w:val="587F05FE"/>
    <w:rsid w:val="58835A93"/>
    <w:rsid w:val="5887384E"/>
    <w:rsid w:val="588860C9"/>
    <w:rsid w:val="58893DC0"/>
    <w:rsid w:val="588A35D7"/>
    <w:rsid w:val="588E3CDF"/>
    <w:rsid w:val="588F53BA"/>
    <w:rsid w:val="58964DC2"/>
    <w:rsid w:val="58964EF4"/>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206E5"/>
    <w:rsid w:val="59037DF7"/>
    <w:rsid w:val="590A5CB9"/>
    <w:rsid w:val="590C4050"/>
    <w:rsid w:val="590C6777"/>
    <w:rsid w:val="5913170D"/>
    <w:rsid w:val="591531CC"/>
    <w:rsid w:val="59175B2C"/>
    <w:rsid w:val="591B200C"/>
    <w:rsid w:val="59314A2C"/>
    <w:rsid w:val="593712A6"/>
    <w:rsid w:val="59376AEA"/>
    <w:rsid w:val="59384413"/>
    <w:rsid w:val="59391116"/>
    <w:rsid w:val="59407EC1"/>
    <w:rsid w:val="59450184"/>
    <w:rsid w:val="5949292D"/>
    <w:rsid w:val="594C4BE4"/>
    <w:rsid w:val="59520002"/>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632A1"/>
    <w:rsid w:val="59D75E4C"/>
    <w:rsid w:val="59D96101"/>
    <w:rsid w:val="59EE4079"/>
    <w:rsid w:val="59F04440"/>
    <w:rsid w:val="59F0461E"/>
    <w:rsid w:val="59F141F6"/>
    <w:rsid w:val="59FC056D"/>
    <w:rsid w:val="59FF3986"/>
    <w:rsid w:val="5A02602A"/>
    <w:rsid w:val="5A0B4DE2"/>
    <w:rsid w:val="5A104541"/>
    <w:rsid w:val="5A16478D"/>
    <w:rsid w:val="5A1E3F86"/>
    <w:rsid w:val="5A213C60"/>
    <w:rsid w:val="5A21777F"/>
    <w:rsid w:val="5A2250DB"/>
    <w:rsid w:val="5A2331A8"/>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45BA"/>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25575"/>
    <w:rsid w:val="5AC4568B"/>
    <w:rsid w:val="5AC465B0"/>
    <w:rsid w:val="5AC9126A"/>
    <w:rsid w:val="5ACB4402"/>
    <w:rsid w:val="5ACD5F94"/>
    <w:rsid w:val="5AD004C7"/>
    <w:rsid w:val="5AD140B1"/>
    <w:rsid w:val="5AD7618C"/>
    <w:rsid w:val="5ADC54ED"/>
    <w:rsid w:val="5AE627DD"/>
    <w:rsid w:val="5AE65AC1"/>
    <w:rsid w:val="5AE72CFB"/>
    <w:rsid w:val="5AE75B53"/>
    <w:rsid w:val="5AE86727"/>
    <w:rsid w:val="5AE95F91"/>
    <w:rsid w:val="5AED60B1"/>
    <w:rsid w:val="5AF10757"/>
    <w:rsid w:val="5AF37FC2"/>
    <w:rsid w:val="5AF70F88"/>
    <w:rsid w:val="5AF745DE"/>
    <w:rsid w:val="5AFE4E4F"/>
    <w:rsid w:val="5B0249E0"/>
    <w:rsid w:val="5B040782"/>
    <w:rsid w:val="5B043ACD"/>
    <w:rsid w:val="5B07612F"/>
    <w:rsid w:val="5B0D44D7"/>
    <w:rsid w:val="5B0F0A3C"/>
    <w:rsid w:val="5B1641FE"/>
    <w:rsid w:val="5B1838CA"/>
    <w:rsid w:val="5B1A00B4"/>
    <w:rsid w:val="5B1D0B7B"/>
    <w:rsid w:val="5B1E2054"/>
    <w:rsid w:val="5B1F372F"/>
    <w:rsid w:val="5B214B7A"/>
    <w:rsid w:val="5B23145A"/>
    <w:rsid w:val="5B2775CA"/>
    <w:rsid w:val="5B3079B1"/>
    <w:rsid w:val="5B3A53F7"/>
    <w:rsid w:val="5B3C26CD"/>
    <w:rsid w:val="5B3F35C5"/>
    <w:rsid w:val="5B3F6C62"/>
    <w:rsid w:val="5B415D6C"/>
    <w:rsid w:val="5B462C87"/>
    <w:rsid w:val="5B467A3A"/>
    <w:rsid w:val="5B484384"/>
    <w:rsid w:val="5B576288"/>
    <w:rsid w:val="5B5D5960"/>
    <w:rsid w:val="5B605983"/>
    <w:rsid w:val="5B633DD6"/>
    <w:rsid w:val="5B663AED"/>
    <w:rsid w:val="5B69795A"/>
    <w:rsid w:val="5B6B2882"/>
    <w:rsid w:val="5B6F1970"/>
    <w:rsid w:val="5B72043B"/>
    <w:rsid w:val="5B733459"/>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72DC1"/>
    <w:rsid w:val="5BA857C0"/>
    <w:rsid w:val="5BAF0D57"/>
    <w:rsid w:val="5BBC3894"/>
    <w:rsid w:val="5BBC7CD9"/>
    <w:rsid w:val="5BC207F8"/>
    <w:rsid w:val="5BC95954"/>
    <w:rsid w:val="5BCA0DED"/>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06D7C"/>
    <w:rsid w:val="5C42208F"/>
    <w:rsid w:val="5C4302AF"/>
    <w:rsid w:val="5C496E06"/>
    <w:rsid w:val="5C501594"/>
    <w:rsid w:val="5C530A3F"/>
    <w:rsid w:val="5C533B56"/>
    <w:rsid w:val="5C5820E1"/>
    <w:rsid w:val="5C5D3398"/>
    <w:rsid w:val="5C5D3989"/>
    <w:rsid w:val="5C63455C"/>
    <w:rsid w:val="5C690B0C"/>
    <w:rsid w:val="5C7103F1"/>
    <w:rsid w:val="5C734616"/>
    <w:rsid w:val="5C8E4D46"/>
    <w:rsid w:val="5C907319"/>
    <w:rsid w:val="5C911EB8"/>
    <w:rsid w:val="5C945015"/>
    <w:rsid w:val="5C956B8F"/>
    <w:rsid w:val="5C985759"/>
    <w:rsid w:val="5C9C7C0A"/>
    <w:rsid w:val="5C9E0390"/>
    <w:rsid w:val="5CA15E2E"/>
    <w:rsid w:val="5CA714A7"/>
    <w:rsid w:val="5CA82D14"/>
    <w:rsid w:val="5CB10CFF"/>
    <w:rsid w:val="5CB90011"/>
    <w:rsid w:val="5CB93FB9"/>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17C36"/>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0085"/>
    <w:rsid w:val="5D7656F6"/>
    <w:rsid w:val="5D782CF4"/>
    <w:rsid w:val="5D7B6862"/>
    <w:rsid w:val="5D7E3940"/>
    <w:rsid w:val="5D813DE2"/>
    <w:rsid w:val="5D850140"/>
    <w:rsid w:val="5D8C6494"/>
    <w:rsid w:val="5D8F323A"/>
    <w:rsid w:val="5D9638E2"/>
    <w:rsid w:val="5D9658FD"/>
    <w:rsid w:val="5D980180"/>
    <w:rsid w:val="5DA00BBA"/>
    <w:rsid w:val="5DA13035"/>
    <w:rsid w:val="5DA264BD"/>
    <w:rsid w:val="5DA42E50"/>
    <w:rsid w:val="5DA81A7E"/>
    <w:rsid w:val="5DA81B3F"/>
    <w:rsid w:val="5DA97BFE"/>
    <w:rsid w:val="5DAE7141"/>
    <w:rsid w:val="5DB3594D"/>
    <w:rsid w:val="5DB62AA6"/>
    <w:rsid w:val="5DB76529"/>
    <w:rsid w:val="5DC0151D"/>
    <w:rsid w:val="5DC53FF5"/>
    <w:rsid w:val="5DCA57A1"/>
    <w:rsid w:val="5DCE4D4E"/>
    <w:rsid w:val="5DD02444"/>
    <w:rsid w:val="5DD21316"/>
    <w:rsid w:val="5DD30C3F"/>
    <w:rsid w:val="5DD649D0"/>
    <w:rsid w:val="5DD72074"/>
    <w:rsid w:val="5DDC52FB"/>
    <w:rsid w:val="5DE00370"/>
    <w:rsid w:val="5DE00F62"/>
    <w:rsid w:val="5DE05104"/>
    <w:rsid w:val="5DE20BD2"/>
    <w:rsid w:val="5DE24087"/>
    <w:rsid w:val="5DE26ACA"/>
    <w:rsid w:val="5DE37EA6"/>
    <w:rsid w:val="5DE518A9"/>
    <w:rsid w:val="5DE7331D"/>
    <w:rsid w:val="5DEA787A"/>
    <w:rsid w:val="5DEE4F56"/>
    <w:rsid w:val="5DF23E5C"/>
    <w:rsid w:val="5DF32F4F"/>
    <w:rsid w:val="5DF82D4E"/>
    <w:rsid w:val="5DF946B2"/>
    <w:rsid w:val="5DFA04F6"/>
    <w:rsid w:val="5DFC0198"/>
    <w:rsid w:val="5E034523"/>
    <w:rsid w:val="5E090D92"/>
    <w:rsid w:val="5E0F4AE9"/>
    <w:rsid w:val="5E0F732F"/>
    <w:rsid w:val="5E146038"/>
    <w:rsid w:val="5E2D2F8F"/>
    <w:rsid w:val="5E2E2427"/>
    <w:rsid w:val="5E2E257F"/>
    <w:rsid w:val="5E2F27BA"/>
    <w:rsid w:val="5E3068B0"/>
    <w:rsid w:val="5E335822"/>
    <w:rsid w:val="5E3969C7"/>
    <w:rsid w:val="5E407912"/>
    <w:rsid w:val="5E433AC6"/>
    <w:rsid w:val="5E450C44"/>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7720A"/>
    <w:rsid w:val="5E7B146C"/>
    <w:rsid w:val="5E7D29BD"/>
    <w:rsid w:val="5E803CD0"/>
    <w:rsid w:val="5E8175BA"/>
    <w:rsid w:val="5E855842"/>
    <w:rsid w:val="5E863851"/>
    <w:rsid w:val="5E8F7E01"/>
    <w:rsid w:val="5E9C7812"/>
    <w:rsid w:val="5EA06EB3"/>
    <w:rsid w:val="5EA140CB"/>
    <w:rsid w:val="5EAB76F2"/>
    <w:rsid w:val="5EAE6EA2"/>
    <w:rsid w:val="5EB21070"/>
    <w:rsid w:val="5EB46D5A"/>
    <w:rsid w:val="5EB72617"/>
    <w:rsid w:val="5EBB33C4"/>
    <w:rsid w:val="5EC47E53"/>
    <w:rsid w:val="5EC50363"/>
    <w:rsid w:val="5EC613C7"/>
    <w:rsid w:val="5EC65064"/>
    <w:rsid w:val="5EC7701B"/>
    <w:rsid w:val="5ECE1B70"/>
    <w:rsid w:val="5ECE3EFF"/>
    <w:rsid w:val="5ECE7ED8"/>
    <w:rsid w:val="5ED01BB4"/>
    <w:rsid w:val="5ED650D9"/>
    <w:rsid w:val="5ED75DC6"/>
    <w:rsid w:val="5ED8510A"/>
    <w:rsid w:val="5ED938A6"/>
    <w:rsid w:val="5EDA017A"/>
    <w:rsid w:val="5EDE0371"/>
    <w:rsid w:val="5EDF33E5"/>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26C9D"/>
    <w:rsid w:val="5F254AD4"/>
    <w:rsid w:val="5F2C1ADA"/>
    <w:rsid w:val="5F307E55"/>
    <w:rsid w:val="5F3C6F75"/>
    <w:rsid w:val="5F403104"/>
    <w:rsid w:val="5F415D9D"/>
    <w:rsid w:val="5F4744F9"/>
    <w:rsid w:val="5F496628"/>
    <w:rsid w:val="5F5111A7"/>
    <w:rsid w:val="5F514A63"/>
    <w:rsid w:val="5F5A6471"/>
    <w:rsid w:val="5F5C1FA9"/>
    <w:rsid w:val="5F5D2245"/>
    <w:rsid w:val="5F5F4C16"/>
    <w:rsid w:val="5F692F24"/>
    <w:rsid w:val="5F6A0B5D"/>
    <w:rsid w:val="5F6C211E"/>
    <w:rsid w:val="5F6C79BB"/>
    <w:rsid w:val="5F727DD0"/>
    <w:rsid w:val="5F734791"/>
    <w:rsid w:val="5F7536CD"/>
    <w:rsid w:val="5F794FC5"/>
    <w:rsid w:val="5F7C1730"/>
    <w:rsid w:val="5F7D7874"/>
    <w:rsid w:val="5F7F4748"/>
    <w:rsid w:val="5F872BDD"/>
    <w:rsid w:val="5F8A1362"/>
    <w:rsid w:val="5F9014AE"/>
    <w:rsid w:val="5F9A3324"/>
    <w:rsid w:val="5FA2777D"/>
    <w:rsid w:val="5FA55820"/>
    <w:rsid w:val="5FA948D4"/>
    <w:rsid w:val="5FB372F0"/>
    <w:rsid w:val="5FC017AD"/>
    <w:rsid w:val="5FC51452"/>
    <w:rsid w:val="5FC729F3"/>
    <w:rsid w:val="5FC83815"/>
    <w:rsid w:val="5FD7706A"/>
    <w:rsid w:val="5FDB4F3D"/>
    <w:rsid w:val="5FE10819"/>
    <w:rsid w:val="5FE30BA2"/>
    <w:rsid w:val="5FE9054F"/>
    <w:rsid w:val="5FF446A9"/>
    <w:rsid w:val="5FF85070"/>
    <w:rsid w:val="5FF940F0"/>
    <w:rsid w:val="5FF96A19"/>
    <w:rsid w:val="5FF96E21"/>
    <w:rsid w:val="5FFB5E88"/>
    <w:rsid w:val="5FFC4F56"/>
    <w:rsid w:val="6003548B"/>
    <w:rsid w:val="6007496A"/>
    <w:rsid w:val="600870EA"/>
    <w:rsid w:val="600C6122"/>
    <w:rsid w:val="6013140E"/>
    <w:rsid w:val="601857BB"/>
    <w:rsid w:val="601A36E0"/>
    <w:rsid w:val="601D2C80"/>
    <w:rsid w:val="601E28CD"/>
    <w:rsid w:val="602229C5"/>
    <w:rsid w:val="602640DE"/>
    <w:rsid w:val="602664AC"/>
    <w:rsid w:val="6029452A"/>
    <w:rsid w:val="603E4F2F"/>
    <w:rsid w:val="60432B5E"/>
    <w:rsid w:val="604364C0"/>
    <w:rsid w:val="60472491"/>
    <w:rsid w:val="60507777"/>
    <w:rsid w:val="605F164B"/>
    <w:rsid w:val="6061481C"/>
    <w:rsid w:val="606A3E56"/>
    <w:rsid w:val="60713FA6"/>
    <w:rsid w:val="6073189D"/>
    <w:rsid w:val="607443D2"/>
    <w:rsid w:val="607566EF"/>
    <w:rsid w:val="6075702F"/>
    <w:rsid w:val="607A48AD"/>
    <w:rsid w:val="607C6421"/>
    <w:rsid w:val="607F5CD0"/>
    <w:rsid w:val="60801EB9"/>
    <w:rsid w:val="608060E1"/>
    <w:rsid w:val="60836310"/>
    <w:rsid w:val="608774EA"/>
    <w:rsid w:val="608A3E41"/>
    <w:rsid w:val="608D2A8C"/>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FD3"/>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4FE6"/>
    <w:rsid w:val="61965727"/>
    <w:rsid w:val="619F7ACD"/>
    <w:rsid w:val="61AA52DF"/>
    <w:rsid w:val="61B854D2"/>
    <w:rsid w:val="61C041DC"/>
    <w:rsid w:val="61C33C28"/>
    <w:rsid w:val="61C87F95"/>
    <w:rsid w:val="61C91364"/>
    <w:rsid w:val="61CD719C"/>
    <w:rsid w:val="61D034C4"/>
    <w:rsid w:val="61D03EEE"/>
    <w:rsid w:val="61D41A2A"/>
    <w:rsid w:val="61D9129E"/>
    <w:rsid w:val="61E363D8"/>
    <w:rsid w:val="61F74CCA"/>
    <w:rsid w:val="61F85E47"/>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50A46"/>
    <w:rsid w:val="624128C8"/>
    <w:rsid w:val="62423062"/>
    <w:rsid w:val="62445F7C"/>
    <w:rsid w:val="624844AD"/>
    <w:rsid w:val="624871FD"/>
    <w:rsid w:val="624B0C0E"/>
    <w:rsid w:val="62570F9F"/>
    <w:rsid w:val="6257242E"/>
    <w:rsid w:val="62580196"/>
    <w:rsid w:val="625E4138"/>
    <w:rsid w:val="6263351F"/>
    <w:rsid w:val="62645753"/>
    <w:rsid w:val="62660FBE"/>
    <w:rsid w:val="62671568"/>
    <w:rsid w:val="626D669B"/>
    <w:rsid w:val="626E1485"/>
    <w:rsid w:val="62724472"/>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5EA5"/>
    <w:rsid w:val="62B86FA9"/>
    <w:rsid w:val="62BC3E88"/>
    <w:rsid w:val="62C002AA"/>
    <w:rsid w:val="62CD5C23"/>
    <w:rsid w:val="62D6114B"/>
    <w:rsid w:val="62D67E2B"/>
    <w:rsid w:val="62D901BE"/>
    <w:rsid w:val="62DF4F75"/>
    <w:rsid w:val="62E15891"/>
    <w:rsid w:val="62E76DF3"/>
    <w:rsid w:val="62EA5C2C"/>
    <w:rsid w:val="62F562C0"/>
    <w:rsid w:val="62FD04F8"/>
    <w:rsid w:val="62FF6655"/>
    <w:rsid w:val="63074D4D"/>
    <w:rsid w:val="630E2EB5"/>
    <w:rsid w:val="63126B2F"/>
    <w:rsid w:val="63133D38"/>
    <w:rsid w:val="631779BD"/>
    <w:rsid w:val="632E498D"/>
    <w:rsid w:val="633336D4"/>
    <w:rsid w:val="63350F4B"/>
    <w:rsid w:val="63351903"/>
    <w:rsid w:val="63353BFC"/>
    <w:rsid w:val="6335724C"/>
    <w:rsid w:val="6341499B"/>
    <w:rsid w:val="63416F64"/>
    <w:rsid w:val="634325ED"/>
    <w:rsid w:val="63443AEC"/>
    <w:rsid w:val="634802B3"/>
    <w:rsid w:val="63547A08"/>
    <w:rsid w:val="63574F6E"/>
    <w:rsid w:val="635C28DF"/>
    <w:rsid w:val="63602152"/>
    <w:rsid w:val="636075B2"/>
    <w:rsid w:val="63650AFF"/>
    <w:rsid w:val="63652712"/>
    <w:rsid w:val="636A0F15"/>
    <w:rsid w:val="636A4566"/>
    <w:rsid w:val="637030CB"/>
    <w:rsid w:val="637A63EB"/>
    <w:rsid w:val="6385218B"/>
    <w:rsid w:val="638541CF"/>
    <w:rsid w:val="63864A92"/>
    <w:rsid w:val="638958C1"/>
    <w:rsid w:val="639154D4"/>
    <w:rsid w:val="63951C95"/>
    <w:rsid w:val="639A0875"/>
    <w:rsid w:val="639B71D2"/>
    <w:rsid w:val="63A17DFD"/>
    <w:rsid w:val="63AB1FE1"/>
    <w:rsid w:val="63B01ED8"/>
    <w:rsid w:val="63B5452C"/>
    <w:rsid w:val="63B76AE2"/>
    <w:rsid w:val="63BD439C"/>
    <w:rsid w:val="63BD7C68"/>
    <w:rsid w:val="63C41DD1"/>
    <w:rsid w:val="63C72372"/>
    <w:rsid w:val="63C977A8"/>
    <w:rsid w:val="63CC30E1"/>
    <w:rsid w:val="63D25757"/>
    <w:rsid w:val="63D32D5D"/>
    <w:rsid w:val="63D72CE7"/>
    <w:rsid w:val="63E03FEA"/>
    <w:rsid w:val="63E33D27"/>
    <w:rsid w:val="63E96742"/>
    <w:rsid w:val="63EE5BED"/>
    <w:rsid w:val="63F25DA5"/>
    <w:rsid w:val="63FC5574"/>
    <w:rsid w:val="63FF74B5"/>
    <w:rsid w:val="6401570F"/>
    <w:rsid w:val="6405483D"/>
    <w:rsid w:val="640C5C73"/>
    <w:rsid w:val="640E6446"/>
    <w:rsid w:val="6410782B"/>
    <w:rsid w:val="64131ACE"/>
    <w:rsid w:val="64193316"/>
    <w:rsid w:val="641E4A63"/>
    <w:rsid w:val="641F6408"/>
    <w:rsid w:val="64267B2C"/>
    <w:rsid w:val="642B5677"/>
    <w:rsid w:val="642C236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8F59E0"/>
    <w:rsid w:val="649040B2"/>
    <w:rsid w:val="64932164"/>
    <w:rsid w:val="64990A00"/>
    <w:rsid w:val="649C4ECA"/>
    <w:rsid w:val="64AB6B0F"/>
    <w:rsid w:val="64AD64C8"/>
    <w:rsid w:val="64AE4EA4"/>
    <w:rsid w:val="64B11EFC"/>
    <w:rsid w:val="64B34835"/>
    <w:rsid w:val="64B35DE8"/>
    <w:rsid w:val="64B7365E"/>
    <w:rsid w:val="64BF2A8C"/>
    <w:rsid w:val="64C32A6F"/>
    <w:rsid w:val="64C63292"/>
    <w:rsid w:val="64C70EC1"/>
    <w:rsid w:val="64C91401"/>
    <w:rsid w:val="64CD2D4A"/>
    <w:rsid w:val="64D71BA6"/>
    <w:rsid w:val="64DB76BD"/>
    <w:rsid w:val="64F05517"/>
    <w:rsid w:val="64F34891"/>
    <w:rsid w:val="64F403C5"/>
    <w:rsid w:val="64F45D47"/>
    <w:rsid w:val="64F46B8A"/>
    <w:rsid w:val="64F77ED0"/>
    <w:rsid w:val="64FB3A3F"/>
    <w:rsid w:val="64FB7419"/>
    <w:rsid w:val="65012C86"/>
    <w:rsid w:val="65084E11"/>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81A89"/>
    <w:rsid w:val="653F3F4B"/>
    <w:rsid w:val="6540130A"/>
    <w:rsid w:val="65442614"/>
    <w:rsid w:val="65474108"/>
    <w:rsid w:val="65483234"/>
    <w:rsid w:val="654A5CBA"/>
    <w:rsid w:val="654A70DD"/>
    <w:rsid w:val="65506794"/>
    <w:rsid w:val="65572F3C"/>
    <w:rsid w:val="655A3450"/>
    <w:rsid w:val="655E4E68"/>
    <w:rsid w:val="656503D7"/>
    <w:rsid w:val="656630D1"/>
    <w:rsid w:val="657024EB"/>
    <w:rsid w:val="6570285A"/>
    <w:rsid w:val="65745028"/>
    <w:rsid w:val="65776C14"/>
    <w:rsid w:val="65786867"/>
    <w:rsid w:val="657A5192"/>
    <w:rsid w:val="657C01A2"/>
    <w:rsid w:val="657D055C"/>
    <w:rsid w:val="65880D68"/>
    <w:rsid w:val="6588700C"/>
    <w:rsid w:val="658F3432"/>
    <w:rsid w:val="659000AC"/>
    <w:rsid w:val="65945ABB"/>
    <w:rsid w:val="6595479B"/>
    <w:rsid w:val="659E4899"/>
    <w:rsid w:val="65AF5A95"/>
    <w:rsid w:val="65B43B78"/>
    <w:rsid w:val="65B50B8D"/>
    <w:rsid w:val="65B63190"/>
    <w:rsid w:val="65BC64AA"/>
    <w:rsid w:val="65C34C6C"/>
    <w:rsid w:val="65C83518"/>
    <w:rsid w:val="65CF6FA8"/>
    <w:rsid w:val="65E06B23"/>
    <w:rsid w:val="65E731DB"/>
    <w:rsid w:val="65EB61D4"/>
    <w:rsid w:val="65EE4D2A"/>
    <w:rsid w:val="65EF66AC"/>
    <w:rsid w:val="65F04330"/>
    <w:rsid w:val="65F20F15"/>
    <w:rsid w:val="65F3675D"/>
    <w:rsid w:val="65F618D7"/>
    <w:rsid w:val="65F80E56"/>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36893"/>
    <w:rsid w:val="667A0C6A"/>
    <w:rsid w:val="667A263F"/>
    <w:rsid w:val="66802FE7"/>
    <w:rsid w:val="66812D23"/>
    <w:rsid w:val="668B6CD0"/>
    <w:rsid w:val="66987E42"/>
    <w:rsid w:val="669A357F"/>
    <w:rsid w:val="66A31556"/>
    <w:rsid w:val="66AB4650"/>
    <w:rsid w:val="66AF5BE1"/>
    <w:rsid w:val="66B37F84"/>
    <w:rsid w:val="66B40759"/>
    <w:rsid w:val="66B56591"/>
    <w:rsid w:val="66BE2FA5"/>
    <w:rsid w:val="66C16711"/>
    <w:rsid w:val="66C9321B"/>
    <w:rsid w:val="66CA7728"/>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C1C11"/>
    <w:rsid w:val="670D1B71"/>
    <w:rsid w:val="67141282"/>
    <w:rsid w:val="67281EC7"/>
    <w:rsid w:val="67324379"/>
    <w:rsid w:val="67344028"/>
    <w:rsid w:val="67392A66"/>
    <w:rsid w:val="673D0326"/>
    <w:rsid w:val="674444D9"/>
    <w:rsid w:val="67456731"/>
    <w:rsid w:val="6747068E"/>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C0DCB"/>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26BA6"/>
    <w:rsid w:val="67B73698"/>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13000"/>
    <w:rsid w:val="680A41A4"/>
    <w:rsid w:val="680F5FD5"/>
    <w:rsid w:val="68134C9B"/>
    <w:rsid w:val="681627EA"/>
    <w:rsid w:val="681C1DAC"/>
    <w:rsid w:val="68261655"/>
    <w:rsid w:val="682812E5"/>
    <w:rsid w:val="68293D6E"/>
    <w:rsid w:val="682F7DB2"/>
    <w:rsid w:val="68300FB1"/>
    <w:rsid w:val="6830505E"/>
    <w:rsid w:val="6831388B"/>
    <w:rsid w:val="683770B8"/>
    <w:rsid w:val="683965C1"/>
    <w:rsid w:val="683B5DF7"/>
    <w:rsid w:val="683D6F3A"/>
    <w:rsid w:val="68400969"/>
    <w:rsid w:val="68426F29"/>
    <w:rsid w:val="68430152"/>
    <w:rsid w:val="6843102F"/>
    <w:rsid w:val="68466DDB"/>
    <w:rsid w:val="684A684C"/>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0467B"/>
    <w:rsid w:val="68A41E22"/>
    <w:rsid w:val="68A77B97"/>
    <w:rsid w:val="68A97007"/>
    <w:rsid w:val="68B478A9"/>
    <w:rsid w:val="68BC201A"/>
    <w:rsid w:val="68C6004A"/>
    <w:rsid w:val="68D12468"/>
    <w:rsid w:val="68D542A9"/>
    <w:rsid w:val="68E1040E"/>
    <w:rsid w:val="68E21FF5"/>
    <w:rsid w:val="68E269FC"/>
    <w:rsid w:val="68E43CE8"/>
    <w:rsid w:val="68F3092C"/>
    <w:rsid w:val="68F56459"/>
    <w:rsid w:val="690071B5"/>
    <w:rsid w:val="69007486"/>
    <w:rsid w:val="690120D7"/>
    <w:rsid w:val="69072F35"/>
    <w:rsid w:val="690916D6"/>
    <w:rsid w:val="69092A95"/>
    <w:rsid w:val="690952C8"/>
    <w:rsid w:val="69153A94"/>
    <w:rsid w:val="691A6F97"/>
    <w:rsid w:val="693536AB"/>
    <w:rsid w:val="694101FB"/>
    <w:rsid w:val="69461F86"/>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3126D"/>
    <w:rsid w:val="698922A3"/>
    <w:rsid w:val="6989270C"/>
    <w:rsid w:val="69893B07"/>
    <w:rsid w:val="698B44CB"/>
    <w:rsid w:val="699129B0"/>
    <w:rsid w:val="699D0C87"/>
    <w:rsid w:val="69A14334"/>
    <w:rsid w:val="69A15775"/>
    <w:rsid w:val="69B33A08"/>
    <w:rsid w:val="69B649A4"/>
    <w:rsid w:val="69C026AD"/>
    <w:rsid w:val="69C40C44"/>
    <w:rsid w:val="69C4366B"/>
    <w:rsid w:val="69C658E4"/>
    <w:rsid w:val="69C963D9"/>
    <w:rsid w:val="69D5474D"/>
    <w:rsid w:val="69D87485"/>
    <w:rsid w:val="69DB51C3"/>
    <w:rsid w:val="69F2148A"/>
    <w:rsid w:val="69F93223"/>
    <w:rsid w:val="6A11122C"/>
    <w:rsid w:val="6A143367"/>
    <w:rsid w:val="6A145E00"/>
    <w:rsid w:val="6A193D7A"/>
    <w:rsid w:val="6A2322EE"/>
    <w:rsid w:val="6A257487"/>
    <w:rsid w:val="6A262F5E"/>
    <w:rsid w:val="6A280CE4"/>
    <w:rsid w:val="6A285C06"/>
    <w:rsid w:val="6A2A5F02"/>
    <w:rsid w:val="6A2F3F03"/>
    <w:rsid w:val="6A3832AF"/>
    <w:rsid w:val="6A3C12F8"/>
    <w:rsid w:val="6A3C7CC8"/>
    <w:rsid w:val="6A3F27B9"/>
    <w:rsid w:val="6A404E3D"/>
    <w:rsid w:val="6A410176"/>
    <w:rsid w:val="6A434B44"/>
    <w:rsid w:val="6A4574D8"/>
    <w:rsid w:val="6A531D1B"/>
    <w:rsid w:val="6A5B3F34"/>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BA2A62"/>
    <w:rsid w:val="6AC032BC"/>
    <w:rsid w:val="6AC8092A"/>
    <w:rsid w:val="6AD06A6E"/>
    <w:rsid w:val="6AD61D20"/>
    <w:rsid w:val="6AD8058D"/>
    <w:rsid w:val="6ADF4062"/>
    <w:rsid w:val="6AE0794B"/>
    <w:rsid w:val="6AE1028F"/>
    <w:rsid w:val="6AE51730"/>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20940"/>
    <w:rsid w:val="6B5743C8"/>
    <w:rsid w:val="6B582777"/>
    <w:rsid w:val="6B585012"/>
    <w:rsid w:val="6B5C47D5"/>
    <w:rsid w:val="6B6951C4"/>
    <w:rsid w:val="6B6B795B"/>
    <w:rsid w:val="6B6C155B"/>
    <w:rsid w:val="6B6D17D9"/>
    <w:rsid w:val="6B7632DB"/>
    <w:rsid w:val="6B777900"/>
    <w:rsid w:val="6B7A615E"/>
    <w:rsid w:val="6B7E0908"/>
    <w:rsid w:val="6B821A80"/>
    <w:rsid w:val="6B842643"/>
    <w:rsid w:val="6B8E6F7C"/>
    <w:rsid w:val="6B8E767A"/>
    <w:rsid w:val="6B923B2B"/>
    <w:rsid w:val="6B9429D1"/>
    <w:rsid w:val="6B960B11"/>
    <w:rsid w:val="6B98025A"/>
    <w:rsid w:val="6B9C3C63"/>
    <w:rsid w:val="6BA31A09"/>
    <w:rsid w:val="6BA75497"/>
    <w:rsid w:val="6BA9582F"/>
    <w:rsid w:val="6BAD3EBF"/>
    <w:rsid w:val="6BB176F7"/>
    <w:rsid w:val="6BB17E5A"/>
    <w:rsid w:val="6BB35690"/>
    <w:rsid w:val="6BB455C1"/>
    <w:rsid w:val="6BB74227"/>
    <w:rsid w:val="6BBA66B5"/>
    <w:rsid w:val="6BBA68E4"/>
    <w:rsid w:val="6BBB4885"/>
    <w:rsid w:val="6BBE76E4"/>
    <w:rsid w:val="6BC9376F"/>
    <w:rsid w:val="6BD1009A"/>
    <w:rsid w:val="6BD5079D"/>
    <w:rsid w:val="6BE0583E"/>
    <w:rsid w:val="6BE0639E"/>
    <w:rsid w:val="6BE444FA"/>
    <w:rsid w:val="6BE47E21"/>
    <w:rsid w:val="6BEC66EE"/>
    <w:rsid w:val="6BF07EAA"/>
    <w:rsid w:val="6BF14A0C"/>
    <w:rsid w:val="6BF20FB8"/>
    <w:rsid w:val="6C0537C8"/>
    <w:rsid w:val="6C084114"/>
    <w:rsid w:val="6C093B94"/>
    <w:rsid w:val="6C0F41E1"/>
    <w:rsid w:val="6C166603"/>
    <w:rsid w:val="6C197FCB"/>
    <w:rsid w:val="6C267A02"/>
    <w:rsid w:val="6C29167F"/>
    <w:rsid w:val="6C2A6CEE"/>
    <w:rsid w:val="6C2B2504"/>
    <w:rsid w:val="6C2B4363"/>
    <w:rsid w:val="6C304F19"/>
    <w:rsid w:val="6C3053D9"/>
    <w:rsid w:val="6C356ABB"/>
    <w:rsid w:val="6C3761B2"/>
    <w:rsid w:val="6C38645D"/>
    <w:rsid w:val="6C4377B6"/>
    <w:rsid w:val="6C4F6842"/>
    <w:rsid w:val="6C517C60"/>
    <w:rsid w:val="6C5405E0"/>
    <w:rsid w:val="6C551B49"/>
    <w:rsid w:val="6C556AE6"/>
    <w:rsid w:val="6C57453E"/>
    <w:rsid w:val="6C595BFA"/>
    <w:rsid w:val="6C644122"/>
    <w:rsid w:val="6C654632"/>
    <w:rsid w:val="6C687A6C"/>
    <w:rsid w:val="6C8846F8"/>
    <w:rsid w:val="6C8D0D6E"/>
    <w:rsid w:val="6C8D4F50"/>
    <w:rsid w:val="6C930994"/>
    <w:rsid w:val="6C974442"/>
    <w:rsid w:val="6C9F1981"/>
    <w:rsid w:val="6CA40FE5"/>
    <w:rsid w:val="6CA900DD"/>
    <w:rsid w:val="6CAB3913"/>
    <w:rsid w:val="6CAC3966"/>
    <w:rsid w:val="6CB5403A"/>
    <w:rsid w:val="6CB60C69"/>
    <w:rsid w:val="6CC42698"/>
    <w:rsid w:val="6CC557FD"/>
    <w:rsid w:val="6CC56A9C"/>
    <w:rsid w:val="6CC742ED"/>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A1781"/>
    <w:rsid w:val="6D1A7C50"/>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3121"/>
    <w:rsid w:val="6D734A13"/>
    <w:rsid w:val="6D73728D"/>
    <w:rsid w:val="6D7D7268"/>
    <w:rsid w:val="6D7F04CF"/>
    <w:rsid w:val="6D8067B6"/>
    <w:rsid w:val="6D826D6C"/>
    <w:rsid w:val="6D8476E7"/>
    <w:rsid w:val="6D8A61A9"/>
    <w:rsid w:val="6D8B21EE"/>
    <w:rsid w:val="6D8F663A"/>
    <w:rsid w:val="6D921648"/>
    <w:rsid w:val="6D927D4F"/>
    <w:rsid w:val="6D943E51"/>
    <w:rsid w:val="6D9A7415"/>
    <w:rsid w:val="6D9C4BDA"/>
    <w:rsid w:val="6D9F77B2"/>
    <w:rsid w:val="6DA22A3B"/>
    <w:rsid w:val="6DA71CDB"/>
    <w:rsid w:val="6DAD7B23"/>
    <w:rsid w:val="6DB14A26"/>
    <w:rsid w:val="6DB43CBF"/>
    <w:rsid w:val="6DB65267"/>
    <w:rsid w:val="6DBE7C28"/>
    <w:rsid w:val="6DC616C6"/>
    <w:rsid w:val="6DC6512A"/>
    <w:rsid w:val="6DC869CE"/>
    <w:rsid w:val="6DC95CAA"/>
    <w:rsid w:val="6DCA662C"/>
    <w:rsid w:val="6DCE70D9"/>
    <w:rsid w:val="6DD54A74"/>
    <w:rsid w:val="6DE512BE"/>
    <w:rsid w:val="6DE61A59"/>
    <w:rsid w:val="6DEA65E3"/>
    <w:rsid w:val="6DEA6AB1"/>
    <w:rsid w:val="6DEC6482"/>
    <w:rsid w:val="6DED1851"/>
    <w:rsid w:val="6DF73D6D"/>
    <w:rsid w:val="6DFB5040"/>
    <w:rsid w:val="6DFC483A"/>
    <w:rsid w:val="6DFE1195"/>
    <w:rsid w:val="6DFF0BBF"/>
    <w:rsid w:val="6DFF24B3"/>
    <w:rsid w:val="6E047794"/>
    <w:rsid w:val="6E0B3FCF"/>
    <w:rsid w:val="6E0B72B9"/>
    <w:rsid w:val="6E0C686E"/>
    <w:rsid w:val="6E1451C2"/>
    <w:rsid w:val="6E162FFC"/>
    <w:rsid w:val="6E2703E9"/>
    <w:rsid w:val="6E2B7861"/>
    <w:rsid w:val="6E2F1A84"/>
    <w:rsid w:val="6E3D153A"/>
    <w:rsid w:val="6E3D457A"/>
    <w:rsid w:val="6E471FA2"/>
    <w:rsid w:val="6E4A41E5"/>
    <w:rsid w:val="6E51768B"/>
    <w:rsid w:val="6E56438B"/>
    <w:rsid w:val="6E566306"/>
    <w:rsid w:val="6E5F53C9"/>
    <w:rsid w:val="6E6A1EA2"/>
    <w:rsid w:val="6E6B1B2A"/>
    <w:rsid w:val="6E6D6DD6"/>
    <w:rsid w:val="6E6F0F38"/>
    <w:rsid w:val="6E7234C8"/>
    <w:rsid w:val="6E74290C"/>
    <w:rsid w:val="6E775B0D"/>
    <w:rsid w:val="6E7B4978"/>
    <w:rsid w:val="6E7C180A"/>
    <w:rsid w:val="6E8677E9"/>
    <w:rsid w:val="6E871FD2"/>
    <w:rsid w:val="6E8A6695"/>
    <w:rsid w:val="6E8D29C3"/>
    <w:rsid w:val="6E8F301E"/>
    <w:rsid w:val="6E8F6DAA"/>
    <w:rsid w:val="6E9060BF"/>
    <w:rsid w:val="6E970F73"/>
    <w:rsid w:val="6EA73D3F"/>
    <w:rsid w:val="6EAE21D1"/>
    <w:rsid w:val="6EB0265D"/>
    <w:rsid w:val="6EB4297B"/>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2E26B3"/>
    <w:rsid w:val="6F327424"/>
    <w:rsid w:val="6F3C0E50"/>
    <w:rsid w:val="6F480882"/>
    <w:rsid w:val="6F506CA5"/>
    <w:rsid w:val="6F52797F"/>
    <w:rsid w:val="6F5334ED"/>
    <w:rsid w:val="6F5D0749"/>
    <w:rsid w:val="6F602211"/>
    <w:rsid w:val="6F6728D3"/>
    <w:rsid w:val="6F697D95"/>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DF5BC9"/>
    <w:rsid w:val="6FE06922"/>
    <w:rsid w:val="6FE11A6A"/>
    <w:rsid w:val="6FE91832"/>
    <w:rsid w:val="6FEC7139"/>
    <w:rsid w:val="6FF00E79"/>
    <w:rsid w:val="6FF15C82"/>
    <w:rsid w:val="6FFB18A6"/>
    <w:rsid w:val="6FFD13E7"/>
    <w:rsid w:val="70035B63"/>
    <w:rsid w:val="70036B75"/>
    <w:rsid w:val="70057CA4"/>
    <w:rsid w:val="70084791"/>
    <w:rsid w:val="700B4CC3"/>
    <w:rsid w:val="700E3BD9"/>
    <w:rsid w:val="701B650B"/>
    <w:rsid w:val="70200403"/>
    <w:rsid w:val="702101C4"/>
    <w:rsid w:val="70233697"/>
    <w:rsid w:val="702F5DFE"/>
    <w:rsid w:val="702F7F84"/>
    <w:rsid w:val="7041670E"/>
    <w:rsid w:val="704622D4"/>
    <w:rsid w:val="704E2703"/>
    <w:rsid w:val="70513178"/>
    <w:rsid w:val="70515849"/>
    <w:rsid w:val="705D0918"/>
    <w:rsid w:val="705E1C14"/>
    <w:rsid w:val="705E1EC1"/>
    <w:rsid w:val="705F0277"/>
    <w:rsid w:val="7060303C"/>
    <w:rsid w:val="706A1F04"/>
    <w:rsid w:val="706B024D"/>
    <w:rsid w:val="70711F9A"/>
    <w:rsid w:val="70764871"/>
    <w:rsid w:val="707A11BD"/>
    <w:rsid w:val="707C2F7E"/>
    <w:rsid w:val="7080762B"/>
    <w:rsid w:val="70812330"/>
    <w:rsid w:val="70853B74"/>
    <w:rsid w:val="70887E51"/>
    <w:rsid w:val="709679E3"/>
    <w:rsid w:val="70971996"/>
    <w:rsid w:val="709A6CCB"/>
    <w:rsid w:val="709E3984"/>
    <w:rsid w:val="70A01528"/>
    <w:rsid w:val="70A45BDD"/>
    <w:rsid w:val="70A46FAF"/>
    <w:rsid w:val="70A535EC"/>
    <w:rsid w:val="70AE6D6B"/>
    <w:rsid w:val="70AF24D8"/>
    <w:rsid w:val="70AF626C"/>
    <w:rsid w:val="70B02DD4"/>
    <w:rsid w:val="70B172B5"/>
    <w:rsid w:val="70B17A12"/>
    <w:rsid w:val="70B41194"/>
    <w:rsid w:val="70BC7B39"/>
    <w:rsid w:val="70C01C60"/>
    <w:rsid w:val="70C14F6B"/>
    <w:rsid w:val="70C17302"/>
    <w:rsid w:val="70C246DC"/>
    <w:rsid w:val="70DA2493"/>
    <w:rsid w:val="70DC4BC5"/>
    <w:rsid w:val="70E86ADD"/>
    <w:rsid w:val="70F22DF6"/>
    <w:rsid w:val="70F640FE"/>
    <w:rsid w:val="71060102"/>
    <w:rsid w:val="71067CCF"/>
    <w:rsid w:val="710B4A26"/>
    <w:rsid w:val="71101A19"/>
    <w:rsid w:val="711103AE"/>
    <w:rsid w:val="711528A0"/>
    <w:rsid w:val="71162D5A"/>
    <w:rsid w:val="711A1C3B"/>
    <w:rsid w:val="711C46FC"/>
    <w:rsid w:val="711E3A15"/>
    <w:rsid w:val="712C473E"/>
    <w:rsid w:val="7132011D"/>
    <w:rsid w:val="71326B1E"/>
    <w:rsid w:val="713A0B5B"/>
    <w:rsid w:val="71452CBD"/>
    <w:rsid w:val="71463FC2"/>
    <w:rsid w:val="7148016B"/>
    <w:rsid w:val="714A084D"/>
    <w:rsid w:val="714D78D3"/>
    <w:rsid w:val="71503CE7"/>
    <w:rsid w:val="7151270E"/>
    <w:rsid w:val="71525218"/>
    <w:rsid w:val="71536C22"/>
    <w:rsid w:val="71567F32"/>
    <w:rsid w:val="715E00B3"/>
    <w:rsid w:val="716004C4"/>
    <w:rsid w:val="716242AB"/>
    <w:rsid w:val="716D482E"/>
    <w:rsid w:val="716F72EE"/>
    <w:rsid w:val="7170516F"/>
    <w:rsid w:val="71734806"/>
    <w:rsid w:val="717A35EB"/>
    <w:rsid w:val="71821750"/>
    <w:rsid w:val="7182297B"/>
    <w:rsid w:val="718729E9"/>
    <w:rsid w:val="718B2947"/>
    <w:rsid w:val="718B5455"/>
    <w:rsid w:val="718C02FE"/>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53839"/>
    <w:rsid w:val="71DF37B5"/>
    <w:rsid w:val="71E173A1"/>
    <w:rsid w:val="71E34BAA"/>
    <w:rsid w:val="71E828A6"/>
    <w:rsid w:val="71EA2CE2"/>
    <w:rsid w:val="71EC67B1"/>
    <w:rsid w:val="71ED6ED1"/>
    <w:rsid w:val="71F05DC2"/>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B6D3C"/>
    <w:rsid w:val="722C7C94"/>
    <w:rsid w:val="72314763"/>
    <w:rsid w:val="723A16A4"/>
    <w:rsid w:val="723B0B95"/>
    <w:rsid w:val="723B52B8"/>
    <w:rsid w:val="724104B8"/>
    <w:rsid w:val="724A4324"/>
    <w:rsid w:val="724D6F66"/>
    <w:rsid w:val="72522723"/>
    <w:rsid w:val="72526D2A"/>
    <w:rsid w:val="72531906"/>
    <w:rsid w:val="725340BD"/>
    <w:rsid w:val="72542A36"/>
    <w:rsid w:val="72555383"/>
    <w:rsid w:val="725B002B"/>
    <w:rsid w:val="726071AA"/>
    <w:rsid w:val="72612414"/>
    <w:rsid w:val="726373ED"/>
    <w:rsid w:val="726843AE"/>
    <w:rsid w:val="728A60B0"/>
    <w:rsid w:val="728B69E4"/>
    <w:rsid w:val="72930D42"/>
    <w:rsid w:val="72956586"/>
    <w:rsid w:val="729F0E66"/>
    <w:rsid w:val="72A31793"/>
    <w:rsid w:val="72A362B4"/>
    <w:rsid w:val="72A74552"/>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649B8"/>
    <w:rsid w:val="72E779D1"/>
    <w:rsid w:val="72EF114F"/>
    <w:rsid w:val="7301303C"/>
    <w:rsid w:val="73024E04"/>
    <w:rsid w:val="73025A71"/>
    <w:rsid w:val="730B0185"/>
    <w:rsid w:val="730B2912"/>
    <w:rsid w:val="73117F42"/>
    <w:rsid w:val="73130C07"/>
    <w:rsid w:val="731829E1"/>
    <w:rsid w:val="73266F63"/>
    <w:rsid w:val="732A69D2"/>
    <w:rsid w:val="732C2097"/>
    <w:rsid w:val="732E73B4"/>
    <w:rsid w:val="732F0552"/>
    <w:rsid w:val="73353A9D"/>
    <w:rsid w:val="733A4AF0"/>
    <w:rsid w:val="733E5133"/>
    <w:rsid w:val="73470963"/>
    <w:rsid w:val="73482989"/>
    <w:rsid w:val="734B783B"/>
    <w:rsid w:val="73606A76"/>
    <w:rsid w:val="73640D2D"/>
    <w:rsid w:val="73664C31"/>
    <w:rsid w:val="736F39A6"/>
    <w:rsid w:val="736F5ADD"/>
    <w:rsid w:val="737773BC"/>
    <w:rsid w:val="73803D51"/>
    <w:rsid w:val="73825C14"/>
    <w:rsid w:val="73833688"/>
    <w:rsid w:val="73847541"/>
    <w:rsid w:val="73896932"/>
    <w:rsid w:val="738B78DE"/>
    <w:rsid w:val="738E0824"/>
    <w:rsid w:val="738F3A55"/>
    <w:rsid w:val="739942FF"/>
    <w:rsid w:val="73A760F2"/>
    <w:rsid w:val="73B00CC3"/>
    <w:rsid w:val="73B06C67"/>
    <w:rsid w:val="73B72266"/>
    <w:rsid w:val="73BD2509"/>
    <w:rsid w:val="73C55A94"/>
    <w:rsid w:val="73D63DCA"/>
    <w:rsid w:val="73D76FCF"/>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2B2769"/>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23205"/>
    <w:rsid w:val="74891CF9"/>
    <w:rsid w:val="748B0C7D"/>
    <w:rsid w:val="74903C13"/>
    <w:rsid w:val="74954644"/>
    <w:rsid w:val="74957A0A"/>
    <w:rsid w:val="749B5D94"/>
    <w:rsid w:val="74A25A03"/>
    <w:rsid w:val="74AB7FDA"/>
    <w:rsid w:val="74AE2C50"/>
    <w:rsid w:val="74AE30E3"/>
    <w:rsid w:val="74AF19B2"/>
    <w:rsid w:val="74B33364"/>
    <w:rsid w:val="74B4717D"/>
    <w:rsid w:val="74B83167"/>
    <w:rsid w:val="74BA0865"/>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75CE1"/>
    <w:rsid w:val="74F95012"/>
    <w:rsid w:val="7502115E"/>
    <w:rsid w:val="75054738"/>
    <w:rsid w:val="750842CC"/>
    <w:rsid w:val="75091147"/>
    <w:rsid w:val="750F4E7A"/>
    <w:rsid w:val="75181445"/>
    <w:rsid w:val="751A36F4"/>
    <w:rsid w:val="751D2CC0"/>
    <w:rsid w:val="7526226A"/>
    <w:rsid w:val="752F371C"/>
    <w:rsid w:val="753A4DD0"/>
    <w:rsid w:val="753E0E14"/>
    <w:rsid w:val="7542280E"/>
    <w:rsid w:val="7545531A"/>
    <w:rsid w:val="75560317"/>
    <w:rsid w:val="75566F69"/>
    <w:rsid w:val="755B188F"/>
    <w:rsid w:val="755D1234"/>
    <w:rsid w:val="755F09DF"/>
    <w:rsid w:val="756479DC"/>
    <w:rsid w:val="75675ADF"/>
    <w:rsid w:val="756B54F8"/>
    <w:rsid w:val="756C6582"/>
    <w:rsid w:val="756D4E66"/>
    <w:rsid w:val="756E5D13"/>
    <w:rsid w:val="75733DE7"/>
    <w:rsid w:val="757816ED"/>
    <w:rsid w:val="757A602C"/>
    <w:rsid w:val="7580636A"/>
    <w:rsid w:val="758075D4"/>
    <w:rsid w:val="75807648"/>
    <w:rsid w:val="758641B8"/>
    <w:rsid w:val="75892A9F"/>
    <w:rsid w:val="75A65327"/>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03143"/>
    <w:rsid w:val="75F72A95"/>
    <w:rsid w:val="75FB7495"/>
    <w:rsid w:val="75FC7D3B"/>
    <w:rsid w:val="75FE31D9"/>
    <w:rsid w:val="75FF0133"/>
    <w:rsid w:val="75FF0244"/>
    <w:rsid w:val="76003A09"/>
    <w:rsid w:val="760231B5"/>
    <w:rsid w:val="76036560"/>
    <w:rsid w:val="76082FFA"/>
    <w:rsid w:val="760A687D"/>
    <w:rsid w:val="760D0670"/>
    <w:rsid w:val="760E0D7A"/>
    <w:rsid w:val="761025FD"/>
    <w:rsid w:val="76130B75"/>
    <w:rsid w:val="76192FD7"/>
    <w:rsid w:val="7619484E"/>
    <w:rsid w:val="761B102B"/>
    <w:rsid w:val="762012F3"/>
    <w:rsid w:val="762D216C"/>
    <w:rsid w:val="762F067E"/>
    <w:rsid w:val="76322CE8"/>
    <w:rsid w:val="76390A1A"/>
    <w:rsid w:val="763B0284"/>
    <w:rsid w:val="763E0B26"/>
    <w:rsid w:val="764400C3"/>
    <w:rsid w:val="764833C3"/>
    <w:rsid w:val="764B7C87"/>
    <w:rsid w:val="764E6C91"/>
    <w:rsid w:val="765233FB"/>
    <w:rsid w:val="76572951"/>
    <w:rsid w:val="7659095E"/>
    <w:rsid w:val="765A2E54"/>
    <w:rsid w:val="765C20F6"/>
    <w:rsid w:val="7669425E"/>
    <w:rsid w:val="766B3DFC"/>
    <w:rsid w:val="766E1268"/>
    <w:rsid w:val="76710E80"/>
    <w:rsid w:val="7672739A"/>
    <w:rsid w:val="767E302B"/>
    <w:rsid w:val="76823B6E"/>
    <w:rsid w:val="768542F9"/>
    <w:rsid w:val="769016B8"/>
    <w:rsid w:val="76932345"/>
    <w:rsid w:val="769F0579"/>
    <w:rsid w:val="76A35D52"/>
    <w:rsid w:val="76A5622D"/>
    <w:rsid w:val="76A633ED"/>
    <w:rsid w:val="76AB5F51"/>
    <w:rsid w:val="76B02504"/>
    <w:rsid w:val="76B576A3"/>
    <w:rsid w:val="76BF45A0"/>
    <w:rsid w:val="76C30824"/>
    <w:rsid w:val="76C428B5"/>
    <w:rsid w:val="76C50EFA"/>
    <w:rsid w:val="76C87FBA"/>
    <w:rsid w:val="76D03D47"/>
    <w:rsid w:val="76D16B19"/>
    <w:rsid w:val="76D36B70"/>
    <w:rsid w:val="76D723E3"/>
    <w:rsid w:val="76DB3BA3"/>
    <w:rsid w:val="76E02C24"/>
    <w:rsid w:val="76E34A56"/>
    <w:rsid w:val="76E56D71"/>
    <w:rsid w:val="76E6140A"/>
    <w:rsid w:val="76ED7808"/>
    <w:rsid w:val="76F1454B"/>
    <w:rsid w:val="76F41B95"/>
    <w:rsid w:val="76F6139A"/>
    <w:rsid w:val="76FA7A7E"/>
    <w:rsid w:val="76FF75D2"/>
    <w:rsid w:val="770268CD"/>
    <w:rsid w:val="77031968"/>
    <w:rsid w:val="77050573"/>
    <w:rsid w:val="77066555"/>
    <w:rsid w:val="77067A75"/>
    <w:rsid w:val="7707185C"/>
    <w:rsid w:val="770760C1"/>
    <w:rsid w:val="770A715A"/>
    <w:rsid w:val="770C2EAD"/>
    <w:rsid w:val="77111055"/>
    <w:rsid w:val="77140ED4"/>
    <w:rsid w:val="7717373F"/>
    <w:rsid w:val="77187B86"/>
    <w:rsid w:val="771C3614"/>
    <w:rsid w:val="772C5306"/>
    <w:rsid w:val="772D352E"/>
    <w:rsid w:val="7733773C"/>
    <w:rsid w:val="7734057D"/>
    <w:rsid w:val="77343121"/>
    <w:rsid w:val="77355E6E"/>
    <w:rsid w:val="77382BBE"/>
    <w:rsid w:val="77383244"/>
    <w:rsid w:val="77443794"/>
    <w:rsid w:val="77453002"/>
    <w:rsid w:val="77492C03"/>
    <w:rsid w:val="774F423A"/>
    <w:rsid w:val="774F7910"/>
    <w:rsid w:val="7756714D"/>
    <w:rsid w:val="77571D77"/>
    <w:rsid w:val="77597E3E"/>
    <w:rsid w:val="77625740"/>
    <w:rsid w:val="7769549F"/>
    <w:rsid w:val="776C70D2"/>
    <w:rsid w:val="7770508C"/>
    <w:rsid w:val="777224B9"/>
    <w:rsid w:val="777C4D24"/>
    <w:rsid w:val="778807C6"/>
    <w:rsid w:val="77883832"/>
    <w:rsid w:val="7789361D"/>
    <w:rsid w:val="778D3458"/>
    <w:rsid w:val="77905FA2"/>
    <w:rsid w:val="779B111F"/>
    <w:rsid w:val="779B34EE"/>
    <w:rsid w:val="77A6008A"/>
    <w:rsid w:val="77A9111A"/>
    <w:rsid w:val="77AC00C4"/>
    <w:rsid w:val="77B05D89"/>
    <w:rsid w:val="77B268BA"/>
    <w:rsid w:val="77B47AEB"/>
    <w:rsid w:val="77B6601D"/>
    <w:rsid w:val="77BB391E"/>
    <w:rsid w:val="77BF6C49"/>
    <w:rsid w:val="77CA4DD0"/>
    <w:rsid w:val="77D7676B"/>
    <w:rsid w:val="77DB02CE"/>
    <w:rsid w:val="77DB70C7"/>
    <w:rsid w:val="77DD7A01"/>
    <w:rsid w:val="77E85637"/>
    <w:rsid w:val="77EE30D2"/>
    <w:rsid w:val="77F630A0"/>
    <w:rsid w:val="78005696"/>
    <w:rsid w:val="78005B7D"/>
    <w:rsid w:val="780A565F"/>
    <w:rsid w:val="780B2FEF"/>
    <w:rsid w:val="780C15F4"/>
    <w:rsid w:val="780F0AC0"/>
    <w:rsid w:val="7810621D"/>
    <w:rsid w:val="78107099"/>
    <w:rsid w:val="78114B77"/>
    <w:rsid w:val="78166D7A"/>
    <w:rsid w:val="781D006F"/>
    <w:rsid w:val="781F2405"/>
    <w:rsid w:val="78213084"/>
    <w:rsid w:val="78213648"/>
    <w:rsid w:val="782424D5"/>
    <w:rsid w:val="78287DBF"/>
    <w:rsid w:val="782F5A83"/>
    <w:rsid w:val="78305E38"/>
    <w:rsid w:val="783328A6"/>
    <w:rsid w:val="78367F27"/>
    <w:rsid w:val="783C4C63"/>
    <w:rsid w:val="783F1D19"/>
    <w:rsid w:val="78404234"/>
    <w:rsid w:val="78475B1A"/>
    <w:rsid w:val="784B2E74"/>
    <w:rsid w:val="784D4582"/>
    <w:rsid w:val="78520561"/>
    <w:rsid w:val="78531BDB"/>
    <w:rsid w:val="785364C5"/>
    <w:rsid w:val="78556E52"/>
    <w:rsid w:val="785E2773"/>
    <w:rsid w:val="785F6878"/>
    <w:rsid w:val="78631B96"/>
    <w:rsid w:val="786746B9"/>
    <w:rsid w:val="78682E27"/>
    <w:rsid w:val="786B2A6C"/>
    <w:rsid w:val="786C5E43"/>
    <w:rsid w:val="786E7579"/>
    <w:rsid w:val="78714A8B"/>
    <w:rsid w:val="787B626A"/>
    <w:rsid w:val="787E78CF"/>
    <w:rsid w:val="78842FF3"/>
    <w:rsid w:val="78855DC8"/>
    <w:rsid w:val="7889168E"/>
    <w:rsid w:val="78932A56"/>
    <w:rsid w:val="78957160"/>
    <w:rsid w:val="7897387D"/>
    <w:rsid w:val="78996993"/>
    <w:rsid w:val="789F05FD"/>
    <w:rsid w:val="78A24FBC"/>
    <w:rsid w:val="78A35617"/>
    <w:rsid w:val="78A51E01"/>
    <w:rsid w:val="78AA7E6E"/>
    <w:rsid w:val="78B43694"/>
    <w:rsid w:val="78BA621A"/>
    <w:rsid w:val="78BB09E4"/>
    <w:rsid w:val="78BE2FCD"/>
    <w:rsid w:val="78BF595B"/>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2D10AA"/>
    <w:rsid w:val="79331259"/>
    <w:rsid w:val="793706B9"/>
    <w:rsid w:val="7938329D"/>
    <w:rsid w:val="7938576E"/>
    <w:rsid w:val="793A1AE4"/>
    <w:rsid w:val="793C7B07"/>
    <w:rsid w:val="79451F4D"/>
    <w:rsid w:val="794621D6"/>
    <w:rsid w:val="794A6843"/>
    <w:rsid w:val="794D60B2"/>
    <w:rsid w:val="794F4BE2"/>
    <w:rsid w:val="795134B6"/>
    <w:rsid w:val="795473E7"/>
    <w:rsid w:val="795E06F8"/>
    <w:rsid w:val="795E094E"/>
    <w:rsid w:val="795E35AB"/>
    <w:rsid w:val="79620926"/>
    <w:rsid w:val="79681A85"/>
    <w:rsid w:val="79725241"/>
    <w:rsid w:val="79732E77"/>
    <w:rsid w:val="79736CFC"/>
    <w:rsid w:val="79740FDB"/>
    <w:rsid w:val="79743161"/>
    <w:rsid w:val="798B0BA1"/>
    <w:rsid w:val="79906517"/>
    <w:rsid w:val="799255C4"/>
    <w:rsid w:val="799538B1"/>
    <w:rsid w:val="7995465F"/>
    <w:rsid w:val="799C771D"/>
    <w:rsid w:val="799F269A"/>
    <w:rsid w:val="79A350A4"/>
    <w:rsid w:val="79A51DD5"/>
    <w:rsid w:val="79A85B1D"/>
    <w:rsid w:val="79B27C4C"/>
    <w:rsid w:val="79B44F8C"/>
    <w:rsid w:val="79BA2167"/>
    <w:rsid w:val="79BD6F74"/>
    <w:rsid w:val="79BF551C"/>
    <w:rsid w:val="79C120E0"/>
    <w:rsid w:val="79C634A3"/>
    <w:rsid w:val="79C723A4"/>
    <w:rsid w:val="79C74587"/>
    <w:rsid w:val="79CA3BEB"/>
    <w:rsid w:val="79DF3AB5"/>
    <w:rsid w:val="79EA45A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15085"/>
    <w:rsid w:val="7A522AD8"/>
    <w:rsid w:val="7A541CDF"/>
    <w:rsid w:val="7A541EB0"/>
    <w:rsid w:val="7A5B3733"/>
    <w:rsid w:val="7A682849"/>
    <w:rsid w:val="7A6B3DC0"/>
    <w:rsid w:val="7A6E01D4"/>
    <w:rsid w:val="7A743079"/>
    <w:rsid w:val="7A754A36"/>
    <w:rsid w:val="7A7B33A5"/>
    <w:rsid w:val="7A7C5D97"/>
    <w:rsid w:val="7A7C624B"/>
    <w:rsid w:val="7A7D1B3C"/>
    <w:rsid w:val="7A8129F5"/>
    <w:rsid w:val="7A8663DD"/>
    <w:rsid w:val="7A8D0DF2"/>
    <w:rsid w:val="7A8D168B"/>
    <w:rsid w:val="7A8D4686"/>
    <w:rsid w:val="7A910FA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872E2"/>
    <w:rsid w:val="7AB93308"/>
    <w:rsid w:val="7ABB6B96"/>
    <w:rsid w:val="7ABD44B1"/>
    <w:rsid w:val="7AC13445"/>
    <w:rsid w:val="7AC21F5F"/>
    <w:rsid w:val="7AC33BB3"/>
    <w:rsid w:val="7AC4137C"/>
    <w:rsid w:val="7AC66B15"/>
    <w:rsid w:val="7AC94F89"/>
    <w:rsid w:val="7ACC2F08"/>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5B7E69"/>
    <w:rsid w:val="7B61362C"/>
    <w:rsid w:val="7B7501AD"/>
    <w:rsid w:val="7B78034A"/>
    <w:rsid w:val="7B7E569B"/>
    <w:rsid w:val="7B8D7752"/>
    <w:rsid w:val="7B8E37DE"/>
    <w:rsid w:val="7B8F47C7"/>
    <w:rsid w:val="7B914B96"/>
    <w:rsid w:val="7B927B14"/>
    <w:rsid w:val="7B950516"/>
    <w:rsid w:val="7B9567A9"/>
    <w:rsid w:val="7B9A7554"/>
    <w:rsid w:val="7B9E2E81"/>
    <w:rsid w:val="7BA051CC"/>
    <w:rsid w:val="7BAB187E"/>
    <w:rsid w:val="7BAB3008"/>
    <w:rsid w:val="7BAB4D2A"/>
    <w:rsid w:val="7BB55C27"/>
    <w:rsid w:val="7BBA1EAE"/>
    <w:rsid w:val="7BC43B6B"/>
    <w:rsid w:val="7BC865B3"/>
    <w:rsid w:val="7BCD2D6C"/>
    <w:rsid w:val="7BCD7FFB"/>
    <w:rsid w:val="7BCF1DE2"/>
    <w:rsid w:val="7BCF5CA9"/>
    <w:rsid w:val="7BD43E2F"/>
    <w:rsid w:val="7BD46237"/>
    <w:rsid w:val="7BD556F2"/>
    <w:rsid w:val="7BD775C3"/>
    <w:rsid w:val="7BDA0029"/>
    <w:rsid w:val="7BDB6D18"/>
    <w:rsid w:val="7BDF4097"/>
    <w:rsid w:val="7BDF5802"/>
    <w:rsid w:val="7BE42FC3"/>
    <w:rsid w:val="7BE56E02"/>
    <w:rsid w:val="7BE86FC8"/>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1F60C9"/>
    <w:rsid w:val="7C234A9B"/>
    <w:rsid w:val="7C236DC4"/>
    <w:rsid w:val="7C272E9E"/>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B511D"/>
    <w:rsid w:val="7C7C3178"/>
    <w:rsid w:val="7C7E4097"/>
    <w:rsid w:val="7C7F218D"/>
    <w:rsid w:val="7C896FBA"/>
    <w:rsid w:val="7C8B4BD5"/>
    <w:rsid w:val="7C90608C"/>
    <w:rsid w:val="7C997B87"/>
    <w:rsid w:val="7C9A793C"/>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2F1029"/>
    <w:rsid w:val="7D303C80"/>
    <w:rsid w:val="7D341BC8"/>
    <w:rsid w:val="7D390C4F"/>
    <w:rsid w:val="7D3A76BB"/>
    <w:rsid w:val="7D405AA6"/>
    <w:rsid w:val="7D436EF5"/>
    <w:rsid w:val="7D4C7CE9"/>
    <w:rsid w:val="7D50513A"/>
    <w:rsid w:val="7D512D55"/>
    <w:rsid w:val="7D5709AE"/>
    <w:rsid w:val="7D5E2E71"/>
    <w:rsid w:val="7D615C92"/>
    <w:rsid w:val="7D682DF0"/>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B74742"/>
    <w:rsid w:val="7DC55AE8"/>
    <w:rsid w:val="7DC932A8"/>
    <w:rsid w:val="7DCB1677"/>
    <w:rsid w:val="7DCE7A95"/>
    <w:rsid w:val="7DD85DBE"/>
    <w:rsid w:val="7DDA4118"/>
    <w:rsid w:val="7DDB237C"/>
    <w:rsid w:val="7DE750D0"/>
    <w:rsid w:val="7DE8415F"/>
    <w:rsid w:val="7DEB13EA"/>
    <w:rsid w:val="7DEB3196"/>
    <w:rsid w:val="7DF50967"/>
    <w:rsid w:val="7DF742E6"/>
    <w:rsid w:val="7DFC489D"/>
    <w:rsid w:val="7E0E68FC"/>
    <w:rsid w:val="7E0F3EA6"/>
    <w:rsid w:val="7E1246DB"/>
    <w:rsid w:val="7E165F0E"/>
    <w:rsid w:val="7E19264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639FA"/>
    <w:rsid w:val="7E572DD3"/>
    <w:rsid w:val="7E5F27E2"/>
    <w:rsid w:val="7E6036B2"/>
    <w:rsid w:val="7E620822"/>
    <w:rsid w:val="7E6931CF"/>
    <w:rsid w:val="7E6D71D1"/>
    <w:rsid w:val="7E7437F7"/>
    <w:rsid w:val="7E755600"/>
    <w:rsid w:val="7E822269"/>
    <w:rsid w:val="7E8255D2"/>
    <w:rsid w:val="7E88480B"/>
    <w:rsid w:val="7E890506"/>
    <w:rsid w:val="7E8B5212"/>
    <w:rsid w:val="7E8B5C41"/>
    <w:rsid w:val="7E8C0FAB"/>
    <w:rsid w:val="7E8E63BD"/>
    <w:rsid w:val="7E971EC6"/>
    <w:rsid w:val="7E986288"/>
    <w:rsid w:val="7E997CE1"/>
    <w:rsid w:val="7EA43F40"/>
    <w:rsid w:val="7EA666C5"/>
    <w:rsid w:val="7EAB22F4"/>
    <w:rsid w:val="7EAE2D53"/>
    <w:rsid w:val="7EB22177"/>
    <w:rsid w:val="7EB7057B"/>
    <w:rsid w:val="7EB913D1"/>
    <w:rsid w:val="7EC00980"/>
    <w:rsid w:val="7EC10E27"/>
    <w:rsid w:val="7EC92461"/>
    <w:rsid w:val="7ECD65C3"/>
    <w:rsid w:val="7ED7579C"/>
    <w:rsid w:val="7ED91764"/>
    <w:rsid w:val="7ED92D9B"/>
    <w:rsid w:val="7EDB6324"/>
    <w:rsid w:val="7EDC3AD4"/>
    <w:rsid w:val="7EDF411C"/>
    <w:rsid w:val="7EE06063"/>
    <w:rsid w:val="7EE32EA1"/>
    <w:rsid w:val="7EE85E1A"/>
    <w:rsid w:val="7EE9267A"/>
    <w:rsid w:val="7EFD09E8"/>
    <w:rsid w:val="7EFE452B"/>
    <w:rsid w:val="7F007AB1"/>
    <w:rsid w:val="7F032E41"/>
    <w:rsid w:val="7F042CED"/>
    <w:rsid w:val="7F054619"/>
    <w:rsid w:val="7F0B3EAA"/>
    <w:rsid w:val="7F1026DA"/>
    <w:rsid w:val="7F145629"/>
    <w:rsid w:val="7F1634AE"/>
    <w:rsid w:val="7F2371D0"/>
    <w:rsid w:val="7F25457C"/>
    <w:rsid w:val="7F3C2189"/>
    <w:rsid w:val="7F3C3603"/>
    <w:rsid w:val="7F3C394C"/>
    <w:rsid w:val="7F563140"/>
    <w:rsid w:val="7F614A34"/>
    <w:rsid w:val="7F614D28"/>
    <w:rsid w:val="7F6179F3"/>
    <w:rsid w:val="7F63372A"/>
    <w:rsid w:val="7F642634"/>
    <w:rsid w:val="7F6803ED"/>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46393"/>
    <w:rsid w:val="7FC478B7"/>
    <w:rsid w:val="7FC622EC"/>
    <w:rsid w:val="7FC83CB0"/>
    <w:rsid w:val="7FCE31F6"/>
    <w:rsid w:val="7FCE4918"/>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59" w:semiHidden="0" w:name="Table Grid"/>
    <w:lsdException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7"/>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7"/>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3"/>
    <w:next w:val="1"/>
    <w:link w:val="48"/>
    <w:unhideWhenUsed/>
    <w:qFormat/>
    <w:uiPriority w:val="9"/>
    <w:pPr>
      <w:snapToGrid w:val="0"/>
      <w:spacing w:line="240" w:lineRule="auto"/>
      <w:ind w:left="0" w:firstLine="221" w:firstLineChars="100"/>
      <w:jc w:val="both"/>
      <w:outlineLvl w:val="2"/>
    </w:pPr>
    <w:rPr>
      <w:sz w:val="24"/>
    </w:rPr>
  </w:style>
  <w:style w:type="paragraph" w:styleId="5">
    <w:name w:val="heading 4"/>
    <w:basedOn w:val="4"/>
    <w:next w:val="1"/>
    <w:link w:val="67"/>
    <w:qFormat/>
    <w:uiPriority w:val="0"/>
    <w:pPr>
      <w:overflowPunct w:val="0"/>
      <w:spacing w:after="0"/>
      <w:textAlignment w:val="baseline"/>
      <w:outlineLvl w:val="3"/>
    </w:pPr>
    <w:rPr>
      <w:sz w:val="28"/>
      <w:szCs w:val="28"/>
      <w:lang w:val="en-GB"/>
    </w:rPr>
  </w:style>
  <w:style w:type="paragraph" w:styleId="6">
    <w:name w:val="heading 5"/>
    <w:basedOn w:val="5"/>
    <w:next w:val="1"/>
    <w:link w:val="68"/>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2"/>
    <w:unhideWhenUsed/>
    <w:qFormat/>
    <w:uiPriority w:val="99"/>
    <w:rPr>
      <w:rFonts w:ascii="宋体"/>
      <w:sz w:val="18"/>
      <w:szCs w:val="18"/>
    </w:rPr>
  </w:style>
  <w:style w:type="paragraph" w:styleId="15">
    <w:name w:val="annotation text"/>
    <w:basedOn w:val="1"/>
    <w:link w:val="40"/>
    <w:unhideWhenUsed/>
    <w:qFormat/>
    <w:uiPriority w:val="99"/>
    <w:rPr>
      <w:sz w:val="20"/>
      <w:szCs w:val="20"/>
    </w:rPr>
  </w:style>
  <w:style w:type="paragraph" w:styleId="16">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5"/>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1"/>
    <w:unhideWhenUsed/>
    <w:qFormat/>
    <w:uiPriority w:val="99"/>
    <w:pPr>
      <w:spacing w:after="0" w:line="240" w:lineRule="auto"/>
    </w:pPr>
    <w:rPr>
      <w:rFonts w:eastAsia="Calibri"/>
      <w:szCs w:val="21"/>
      <w:lang w:val="en-GB" w:eastAsia="en-US"/>
    </w:rPr>
  </w:style>
  <w:style w:type="paragraph" w:styleId="20">
    <w:name w:val="Date"/>
    <w:basedOn w:val="1"/>
    <w:next w:val="1"/>
    <w:link w:val="55"/>
    <w:unhideWhenUsed/>
    <w:qFormat/>
    <w:uiPriority w:val="99"/>
    <w:pPr>
      <w:ind w:left="100" w:leftChars="2500"/>
    </w:pPr>
  </w:style>
  <w:style w:type="paragraph" w:styleId="21">
    <w:name w:val="Balloon Text"/>
    <w:basedOn w:val="1"/>
    <w:link w:val="36"/>
    <w:unhideWhenUsed/>
    <w:qFormat/>
    <w:uiPriority w:val="99"/>
    <w:pPr>
      <w:spacing w:after="0" w:line="240" w:lineRule="auto"/>
    </w:pPr>
    <w:rPr>
      <w:rFonts w:ascii="Tahoma" w:hAnsi="Tahoma"/>
      <w:sz w:val="16"/>
      <w:szCs w:val="16"/>
    </w:rPr>
  </w:style>
  <w:style w:type="paragraph" w:styleId="22">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8"/>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1"/>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9">
    <w:name w:val="Table Elegant"/>
    <w:basedOn w:val="27"/>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31">
    <w:name w:val="page number"/>
    <w:basedOn w:val="30"/>
    <w:unhideWhenUsed/>
    <w:qFormat/>
    <w:uiPriority w:val="99"/>
    <w:rPr>
      <w:rFonts w:hint="default"/>
      <w:sz w:val="24"/>
    </w:rPr>
  </w:style>
  <w:style w:type="character" w:styleId="32">
    <w:name w:val="FollowedHyperlink"/>
    <w:basedOn w:val="30"/>
    <w:semiHidden/>
    <w:unhideWhenUsed/>
    <w:qFormat/>
    <w:uiPriority w:val="99"/>
    <w:rPr>
      <w:color w:val="800080" w:themeColor="followedHyperlink"/>
      <w:u w:val="single"/>
      <w14:textFill>
        <w14:solidFill>
          <w14:schemeClr w14:val="folHlink"/>
        </w14:solidFill>
      </w14:textFill>
    </w:rPr>
  </w:style>
  <w:style w:type="character" w:styleId="33">
    <w:name w:val="Emphasis"/>
    <w:qFormat/>
    <w:uiPriority w:val="20"/>
    <w:rPr>
      <w:i/>
      <w:iCs/>
    </w:rPr>
  </w:style>
  <w:style w:type="character" w:styleId="34">
    <w:name w:val="Hyperlink"/>
    <w:unhideWhenUsed/>
    <w:qFormat/>
    <w:uiPriority w:val="99"/>
    <w:rPr>
      <w:color w:val="0000FF"/>
      <w:u w:val="single"/>
    </w:rPr>
  </w:style>
  <w:style w:type="character" w:styleId="35">
    <w:name w:val="annotation reference"/>
    <w:basedOn w:val="30"/>
    <w:unhideWhenUsed/>
    <w:qFormat/>
    <w:uiPriority w:val="99"/>
    <w:rPr>
      <w:sz w:val="16"/>
      <w:szCs w:val="16"/>
    </w:rPr>
  </w:style>
  <w:style w:type="character" w:customStyle="1" w:styleId="36">
    <w:name w:val="批注框文本 Char"/>
    <w:link w:val="21"/>
    <w:semiHidden/>
    <w:qFormat/>
    <w:uiPriority w:val="99"/>
    <w:rPr>
      <w:rFonts w:ascii="Tahoma" w:hAnsi="Tahoma" w:cs="Tahoma"/>
      <w:sz w:val="16"/>
      <w:szCs w:val="16"/>
    </w:rPr>
  </w:style>
  <w:style w:type="character" w:customStyle="1" w:styleId="37">
    <w:name w:val="标题 1 Char"/>
    <w:link w:val="2"/>
    <w:qFormat/>
    <w:uiPriority w:val="0"/>
    <w:rPr>
      <w:rFonts w:ascii="Arial" w:hAnsi="Arial" w:eastAsia="黑体"/>
      <w:b/>
      <w:bCs/>
      <w:sz w:val="30"/>
      <w:szCs w:val="30"/>
      <w:lang w:val="zh-CN"/>
    </w:rPr>
  </w:style>
  <w:style w:type="character" w:customStyle="1" w:styleId="38">
    <w:name w:val="页眉 Char"/>
    <w:link w:val="23"/>
    <w:qFormat/>
    <w:uiPriority w:val="99"/>
    <w:rPr>
      <w:rFonts w:ascii="Arial" w:hAnsi="Arial" w:eastAsia="MS Mincho"/>
      <w:b/>
      <w:szCs w:val="24"/>
      <w:lang w:eastAsia="en-US"/>
    </w:rPr>
  </w:style>
  <w:style w:type="paragraph" w:customStyle="1" w:styleId="3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0">
    <w:name w:val="批注文字 Char"/>
    <w:basedOn w:val="30"/>
    <w:link w:val="15"/>
    <w:qFormat/>
    <w:uiPriority w:val="99"/>
  </w:style>
  <w:style w:type="character" w:customStyle="1" w:styleId="41">
    <w:name w:val="批注主题 Char"/>
    <w:link w:val="26"/>
    <w:semiHidden/>
    <w:qFormat/>
    <w:uiPriority w:val="99"/>
    <w:rPr>
      <w:b/>
      <w:bCs/>
    </w:rPr>
  </w:style>
  <w:style w:type="character" w:customStyle="1" w:styleId="42">
    <w:name w:val="文档结构图 Char"/>
    <w:link w:val="14"/>
    <w:semiHidden/>
    <w:qFormat/>
    <w:uiPriority w:val="99"/>
    <w:rPr>
      <w:rFonts w:ascii="宋体"/>
      <w:sz w:val="18"/>
      <w:szCs w:val="18"/>
    </w:rPr>
  </w:style>
  <w:style w:type="character" w:customStyle="1" w:styleId="43">
    <w:name w:val="正文文本 Char"/>
    <w:link w:val="16"/>
    <w:qFormat/>
    <w:uiPriority w:val="0"/>
    <w:rPr>
      <w:rFonts w:ascii="Times New Roman" w:hAnsi="Times New Roman"/>
      <w:color w:val="0000FF"/>
      <w:kern w:val="2"/>
      <w:sz w:val="21"/>
    </w:rPr>
  </w:style>
  <w:style w:type="character" w:customStyle="1" w:styleId="44">
    <w:name w:val="题注 Char"/>
    <w:link w:val="13"/>
    <w:qFormat/>
    <w:uiPriority w:val="0"/>
    <w:rPr>
      <w:rFonts w:ascii="Times New Roman" w:hAnsi="Times New Roman" w:eastAsiaTheme="minorEastAsia"/>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页脚 Char"/>
    <w:link w:val="22"/>
    <w:qFormat/>
    <w:uiPriority w:val="99"/>
    <w:rPr>
      <w:sz w:val="18"/>
      <w:szCs w:val="18"/>
    </w:rPr>
  </w:style>
  <w:style w:type="character" w:customStyle="1" w:styleId="47">
    <w:name w:val="标题 2 Char"/>
    <w:link w:val="3"/>
    <w:qFormat/>
    <w:uiPriority w:val="0"/>
    <w:rPr>
      <w:rFonts w:ascii="Times New Roman" w:hAnsi="Times New Roman" w:eastAsiaTheme="minorEastAsia"/>
      <w:b/>
      <w:bCs/>
      <w:sz w:val="32"/>
      <w:szCs w:val="32"/>
      <w:lang w:val="en-US" w:eastAsia="zh-CN"/>
    </w:rPr>
  </w:style>
  <w:style w:type="character" w:customStyle="1" w:styleId="48">
    <w:name w:val="标题 3 Char"/>
    <w:link w:val="4"/>
    <w:semiHidden/>
    <w:qFormat/>
    <w:uiPriority w:val="9"/>
    <w:rPr>
      <w:rFonts w:ascii="Times New Roman" w:hAnsi="Times New Roman" w:eastAsiaTheme="minorEastAsia"/>
      <w:b/>
      <w:bCs/>
      <w:sz w:val="24"/>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日期 Char"/>
    <w:link w:val="20"/>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纯文本 Char"/>
    <w:link w:val="19"/>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标题 4 Char"/>
    <w:link w:val="5"/>
    <w:qFormat/>
    <w:uiPriority w:val="0"/>
    <w:rPr>
      <w:rFonts w:ascii="Times New Roman" w:hAnsi="Times New Roman"/>
      <w:b/>
      <w:sz w:val="28"/>
      <w:szCs w:val="28"/>
      <w:lang w:val="en-GB"/>
    </w:rPr>
  </w:style>
  <w:style w:type="character" w:customStyle="1" w:styleId="68">
    <w:name w:val="标题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正文文本缩进 Char"/>
    <w:basedOn w:val="30"/>
    <w:link w:val="17"/>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2"/>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4"/>
    <w:link w:val="89"/>
    <w:qFormat/>
    <w:uiPriority w:val="99"/>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character" w:customStyle="1" w:styleId="89">
    <w:name w:val="B1 (文字)"/>
    <w:link w:val="86"/>
    <w:qFormat/>
    <w:uiPriority w:val="99"/>
    <w:rPr>
      <w:rFonts w:ascii="Calibri" w:hAnsi="Calibri" w:eastAsiaTheme="minorEastAsia"/>
      <w:sz w:val="22"/>
      <w:szCs w:val="22"/>
    </w:rPr>
  </w:style>
  <w:style w:type="paragraph" w:customStyle="1" w:styleId="9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91">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2">
    <w:name w:val="列出段落2"/>
    <w:basedOn w:val="1"/>
    <w:qFormat/>
    <w:uiPriority w:val="99"/>
    <w:pPr>
      <w:ind w:firstLine="420" w:firstLineChars="200"/>
    </w:pPr>
  </w:style>
  <w:style w:type="paragraph" w:customStyle="1" w:styleId="93">
    <w:name w:val="3GPP Agreements"/>
    <w:basedOn w:val="1"/>
    <w:qFormat/>
    <w:uiPriority w:val="0"/>
    <w:pPr>
      <w:numPr>
        <w:ilvl w:val="0"/>
        <w:numId w:val="2"/>
      </w:numPr>
      <w:spacing w:before="60" w:after="60"/>
      <w:jc w:val="both"/>
    </w:pPr>
  </w:style>
  <w:style w:type="character" w:customStyle="1" w:styleId="94">
    <w:name w:val="normaltextrun"/>
    <w:qFormat/>
    <w:uiPriority w:val="0"/>
  </w:style>
  <w:style w:type="character" w:customStyle="1" w:styleId="95">
    <w:name w:val="spellingerror"/>
    <w:qFormat/>
    <w:uiPriority w:val="0"/>
  </w:style>
  <w:style w:type="paragraph" w:styleId="96">
    <w:name w:val="List Paragraph"/>
    <w:basedOn w:val="1"/>
    <w:link w:val="113"/>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7">
    <w:name w:val="10"/>
    <w:basedOn w:val="30"/>
    <w:qFormat/>
    <w:uiPriority w:val="0"/>
    <w:rPr>
      <w:rFonts w:hint="default" w:ascii="Times New Roman" w:hAnsi="Times New Roman" w:cs="Times New Roman"/>
    </w:rPr>
  </w:style>
  <w:style w:type="character" w:customStyle="1" w:styleId="98">
    <w:name w:val="15"/>
    <w:basedOn w:val="30"/>
    <w:qFormat/>
    <w:uiPriority w:val="0"/>
    <w:rPr>
      <w:rFonts w:hint="default" w:ascii="Times New Roman" w:hAnsi="Times New Roman" w:cs="Times New Roman"/>
    </w:rPr>
  </w:style>
  <w:style w:type="paragraph" w:customStyle="1" w:styleId="99">
    <w:name w:val="TAL+B1"/>
    <w:basedOn w:val="64"/>
    <w:qFormat/>
    <w:uiPriority w:val="0"/>
    <w:pPr>
      <w:widowControl w:val="0"/>
      <w:spacing w:before="100" w:beforeAutospacing="1" w:line="240" w:lineRule="auto"/>
      <w:ind w:left="284"/>
    </w:pPr>
    <w:rPr>
      <w:rFonts w:eastAsia="Times New Roman"/>
      <w:szCs w:val="18"/>
    </w:rPr>
  </w:style>
  <w:style w:type="paragraph" w:customStyle="1" w:styleId="100">
    <w:name w:val="TAL+B2"/>
    <w:basedOn w:val="99"/>
    <w:qFormat/>
    <w:uiPriority w:val="0"/>
    <w:pPr>
      <w:ind w:left="568"/>
    </w:pPr>
  </w:style>
  <w:style w:type="paragraph" w:customStyle="1" w:styleId="101">
    <w:name w:val="TAL+B3"/>
    <w:basedOn w:val="100"/>
    <w:qFormat/>
    <w:uiPriority w:val="0"/>
    <w:pPr>
      <w:ind w:left="852"/>
    </w:pPr>
  </w:style>
  <w:style w:type="paragraph" w:customStyle="1" w:styleId="102">
    <w:name w:val="TAL+B4"/>
    <w:basedOn w:val="101"/>
    <w:qFormat/>
    <w:uiPriority w:val="0"/>
    <w:pPr>
      <w:ind w:left="1136"/>
    </w:pPr>
  </w:style>
  <w:style w:type="paragraph" w:customStyle="1" w:styleId="103">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4">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5">
    <w:name w:val="EmailDiscussion"/>
    <w:basedOn w:val="1"/>
    <w:next w:val="104"/>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6">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7">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9">
    <w:name w:val="Placeholder Text"/>
    <w:basedOn w:val="30"/>
    <w:semiHidden/>
    <w:qFormat/>
    <w:uiPriority w:val="99"/>
    <w:rPr>
      <w:color w:val="808080"/>
    </w:rPr>
  </w:style>
  <w:style w:type="paragraph" w:customStyle="1" w:styleId="110">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11">
    <w:name w:val="0 Main text"/>
    <w:basedOn w:val="1"/>
    <w:qFormat/>
    <w:uiPriority w:val="0"/>
    <w:pPr>
      <w:jc w:val="both"/>
    </w:pPr>
    <w:rPr>
      <w:rFonts w:ascii="Times New Roman" w:hAnsi="Times New Roman" w:eastAsia="Malgun Gothic"/>
      <w:szCs w:val="20"/>
    </w:rPr>
  </w:style>
  <w:style w:type="paragraph" w:customStyle="1" w:styleId="112">
    <w:name w:val="修订2"/>
    <w:hidden/>
    <w:semiHidden/>
    <w:qFormat/>
    <w:uiPriority w:val="99"/>
    <w:rPr>
      <w:rFonts w:ascii="Calibri" w:hAnsi="Calibri" w:cs="Times New Roman" w:eastAsiaTheme="minorEastAsia"/>
      <w:sz w:val="22"/>
      <w:szCs w:val="22"/>
      <w:lang w:val="en-US" w:eastAsia="zh-CN" w:bidi="ar-SA"/>
    </w:rPr>
  </w:style>
  <w:style w:type="character" w:customStyle="1" w:styleId="113">
    <w:name w:val="列出段落 Char1"/>
    <w:link w:val="96"/>
    <w:qFormat/>
    <w:uiPriority w:val="34"/>
    <w:rPr>
      <w:sz w:val="22"/>
      <w:lang w:eastAsia="ja-JP"/>
    </w:rPr>
  </w:style>
  <w:style w:type="paragraph" w:customStyle="1" w:styleId="114">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115">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116">
    <w:name w:val="00_Text"/>
    <w:basedOn w:val="1"/>
    <w:qFormat/>
    <w:uiPriority w:val="0"/>
    <w:pPr>
      <w:spacing w:before="120" w:after="120" w:line="264" w:lineRule="auto"/>
      <w:jc w:val="both"/>
    </w:pPr>
    <w:rPr>
      <w:rFonts w:ascii="Times New Roman" w:hAnsi="Times New Roman" w:eastAsia="宋体"/>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C36BF-04FB-4C5B-A1C6-E74C3C40062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5961</Words>
  <Characters>33984</Characters>
  <Lines>283</Lines>
  <Paragraphs>79</Paragraphs>
  <TotalTime>0</TotalTime>
  <ScaleCrop>false</ScaleCrop>
  <LinksUpToDate>false</LinksUpToDate>
  <CharactersWithSpaces>39866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2023-11-01T08:56:06Z</dcterms:modified>
  <cp:revision>1072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08142AD984B846529BC3F7F3AEAE59AE</vt:lpwstr>
  </property>
</Properties>
</file>